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E001" w14:textId="2571D2A6" w:rsidR="00737B76" w:rsidRDefault="00F9041F" w:rsidP="00487523">
      <w:pPr>
        <w:rPr>
          <w:bCs/>
          <w:color w:val="00B050"/>
        </w:rPr>
      </w:pPr>
      <w:r>
        <w:rPr>
          <w:bCs/>
          <w:color w:val="00B050"/>
        </w:rPr>
        <w:t xml:space="preserve">Submitted Nov2021. </w:t>
      </w:r>
      <w:r w:rsidR="00C8040A">
        <w:rPr>
          <w:bCs/>
          <w:color w:val="00B050"/>
        </w:rPr>
        <w:t>Re-</w:t>
      </w:r>
      <w:r w:rsidR="00737B76">
        <w:rPr>
          <w:bCs/>
          <w:color w:val="00B050"/>
        </w:rPr>
        <w:t>Submi</w:t>
      </w:r>
      <w:r w:rsidR="00C8040A">
        <w:rPr>
          <w:bCs/>
          <w:color w:val="00B050"/>
        </w:rPr>
        <w:t>ssion</w:t>
      </w:r>
      <w:r w:rsidR="00737B76">
        <w:rPr>
          <w:bCs/>
          <w:color w:val="00B050"/>
        </w:rPr>
        <w:t xml:space="preserve"> to </w:t>
      </w:r>
      <w:r w:rsidR="00737B76" w:rsidRPr="000F46E3">
        <w:rPr>
          <w:bCs/>
          <w:i/>
          <w:iCs/>
          <w:color w:val="00B050"/>
        </w:rPr>
        <w:t>A</w:t>
      </w:r>
      <w:r w:rsidR="000F46E3" w:rsidRPr="000F46E3">
        <w:rPr>
          <w:bCs/>
          <w:i/>
          <w:iCs/>
          <w:color w:val="00B050"/>
        </w:rPr>
        <w:t>rt,</w:t>
      </w:r>
      <w:r w:rsidR="000F46E3">
        <w:rPr>
          <w:bCs/>
          <w:i/>
          <w:iCs/>
          <w:color w:val="00B050"/>
        </w:rPr>
        <w:t xml:space="preserve"> </w:t>
      </w:r>
      <w:r w:rsidR="00737B76" w:rsidRPr="000F46E3">
        <w:rPr>
          <w:bCs/>
          <w:i/>
          <w:iCs/>
          <w:color w:val="00B050"/>
        </w:rPr>
        <w:t>D</w:t>
      </w:r>
      <w:r w:rsidR="000F46E3" w:rsidRPr="000F46E3">
        <w:rPr>
          <w:bCs/>
          <w:i/>
          <w:iCs/>
          <w:color w:val="00B050"/>
        </w:rPr>
        <w:t xml:space="preserve">esign </w:t>
      </w:r>
      <w:r w:rsidR="00737B76" w:rsidRPr="000F46E3">
        <w:rPr>
          <w:bCs/>
          <w:i/>
          <w:iCs/>
          <w:color w:val="00B050"/>
        </w:rPr>
        <w:t>&amp;</w:t>
      </w:r>
      <w:r w:rsidR="000F46E3" w:rsidRPr="000F46E3">
        <w:rPr>
          <w:bCs/>
          <w:i/>
          <w:iCs/>
          <w:color w:val="00B050"/>
        </w:rPr>
        <w:t xml:space="preserve"> </w:t>
      </w:r>
      <w:r w:rsidR="00737B76" w:rsidRPr="000F46E3">
        <w:rPr>
          <w:bCs/>
          <w:i/>
          <w:iCs/>
          <w:color w:val="00B050"/>
        </w:rPr>
        <w:t>C</w:t>
      </w:r>
      <w:r w:rsidR="000F46E3" w:rsidRPr="000F46E3">
        <w:rPr>
          <w:bCs/>
          <w:i/>
          <w:iCs/>
          <w:color w:val="00B050"/>
        </w:rPr>
        <w:t xml:space="preserve">ommunication </w:t>
      </w:r>
      <w:r w:rsidR="00737B76" w:rsidRPr="000F46E3">
        <w:rPr>
          <w:bCs/>
          <w:i/>
          <w:iCs/>
          <w:color w:val="00B050"/>
        </w:rPr>
        <w:t>in</w:t>
      </w:r>
      <w:r w:rsidR="000F46E3" w:rsidRPr="000F46E3">
        <w:rPr>
          <w:bCs/>
          <w:i/>
          <w:iCs/>
          <w:color w:val="00B050"/>
        </w:rPr>
        <w:t xml:space="preserve"> </w:t>
      </w:r>
      <w:r w:rsidR="00737B76" w:rsidRPr="000F46E3">
        <w:rPr>
          <w:bCs/>
          <w:i/>
          <w:iCs/>
          <w:color w:val="00B050"/>
        </w:rPr>
        <w:t>HE</w:t>
      </w:r>
      <w:r w:rsidR="00737B76">
        <w:rPr>
          <w:bCs/>
          <w:color w:val="00B050"/>
        </w:rPr>
        <w:t xml:space="preserve"> journal</w:t>
      </w:r>
    </w:p>
    <w:p w14:paraId="7052FE97" w14:textId="4B60472D" w:rsidR="00E17609" w:rsidRDefault="00806DFE" w:rsidP="00487523">
      <w:pPr>
        <w:rPr>
          <w:color w:val="00B050"/>
        </w:rPr>
      </w:pPr>
      <w:r>
        <w:rPr>
          <w:bCs/>
          <w:color w:val="00B050"/>
        </w:rPr>
        <w:t>Accepted 26 Jan 2022</w:t>
      </w:r>
    </w:p>
    <w:p w14:paraId="7F64AAF7" w14:textId="24B794AF" w:rsidR="005E10A4" w:rsidRPr="005E10A4" w:rsidRDefault="005E10A4" w:rsidP="00A94918">
      <w:pPr>
        <w:rPr>
          <w:bCs/>
          <w:color w:val="000000" w:themeColor="text1"/>
        </w:rPr>
      </w:pPr>
      <w:bookmarkStart w:id="0" w:name="OLE_LINK1"/>
      <w:bookmarkStart w:id="1" w:name="OLE_LINK2"/>
    </w:p>
    <w:p w14:paraId="4589335D" w14:textId="1F92EA9D" w:rsidR="00E4173F" w:rsidRDefault="00E4173F" w:rsidP="00A94918">
      <w:pPr>
        <w:rPr>
          <w:b/>
          <w:color w:val="000000" w:themeColor="text1"/>
        </w:rPr>
      </w:pPr>
      <w:r w:rsidRPr="00E17609">
        <w:rPr>
          <w:b/>
          <w:color w:val="000000" w:themeColor="text1"/>
        </w:rPr>
        <w:t>Drawing</w:t>
      </w:r>
      <w:r w:rsidR="00750E6A" w:rsidRPr="00E17609">
        <w:rPr>
          <w:b/>
          <w:color w:val="000000" w:themeColor="text1"/>
        </w:rPr>
        <w:t xml:space="preserve"> Matters</w:t>
      </w:r>
    </w:p>
    <w:bookmarkEnd w:id="0"/>
    <w:bookmarkEnd w:id="1"/>
    <w:p w14:paraId="3E1C6A1E" w14:textId="77777777" w:rsidR="00A94918" w:rsidRPr="006B13D0" w:rsidRDefault="00A94918" w:rsidP="00903477">
      <w:pPr>
        <w:rPr>
          <w:b/>
          <w:color w:val="FF0000"/>
        </w:rPr>
      </w:pPr>
    </w:p>
    <w:p w14:paraId="2DCB7BA1" w14:textId="6744C851" w:rsidR="003911E9" w:rsidRDefault="00F44C6A" w:rsidP="00890E4A">
      <w:r>
        <w:t>Howard Riley</w:t>
      </w:r>
      <w:r w:rsidR="00D3437B">
        <w:t xml:space="preserve"> </w:t>
      </w:r>
    </w:p>
    <w:p w14:paraId="54C5B7EC" w14:textId="0E9DB11F" w:rsidR="008D08DD" w:rsidRDefault="008D08DD" w:rsidP="00890E4A">
      <w:r>
        <w:t>Professor Emeritus, Swansea College of Art, University of Wales Trinity Saint David.</w:t>
      </w:r>
    </w:p>
    <w:p w14:paraId="1607868F" w14:textId="77777777" w:rsidR="008D08DD" w:rsidRDefault="008D08DD" w:rsidP="00890E4A"/>
    <w:p w14:paraId="772FD6F8" w14:textId="333368A2" w:rsidR="008D08DD" w:rsidRDefault="008D08DD" w:rsidP="008D08DD">
      <w:pPr>
        <w:rPr>
          <w:color w:val="000000" w:themeColor="text1"/>
        </w:rPr>
      </w:pPr>
      <w:r w:rsidRPr="00F21AEF">
        <w:rPr>
          <w:color w:val="000000" w:themeColor="text1"/>
        </w:rPr>
        <w:t>Michelle Darlington</w:t>
      </w:r>
    </w:p>
    <w:p w14:paraId="5641E578" w14:textId="5EE65E79" w:rsidR="008D08DD" w:rsidRDefault="008D08DD" w:rsidP="008D08DD">
      <w:pPr>
        <w:rPr>
          <w:color w:val="000000" w:themeColor="text1"/>
        </w:rPr>
      </w:pPr>
      <w:r>
        <w:rPr>
          <w:color w:val="000000" w:themeColor="text1"/>
        </w:rPr>
        <w:t>Head of Knowledge Transfer, Cambridge Centre for Social Innovation,</w:t>
      </w:r>
    </w:p>
    <w:p w14:paraId="46C324A5" w14:textId="64274B85" w:rsidR="008D08DD" w:rsidRDefault="008D08DD" w:rsidP="008D08DD">
      <w:pPr>
        <w:rPr>
          <w:color w:val="000000" w:themeColor="text1"/>
        </w:rPr>
      </w:pPr>
      <w:r>
        <w:rPr>
          <w:color w:val="000000" w:themeColor="text1"/>
        </w:rPr>
        <w:t>Cambridge University.</w:t>
      </w:r>
    </w:p>
    <w:p w14:paraId="6C2A8A06" w14:textId="77777777" w:rsidR="008D08DD" w:rsidRPr="00F21AEF" w:rsidRDefault="008D08DD" w:rsidP="008D08DD">
      <w:pPr>
        <w:rPr>
          <w:color w:val="000000" w:themeColor="text1"/>
        </w:rPr>
      </w:pPr>
    </w:p>
    <w:p w14:paraId="238B9846" w14:textId="6EEEF5A6" w:rsidR="008D08DD" w:rsidRDefault="004B3F03" w:rsidP="00FF4B69">
      <w:pPr>
        <w:spacing w:line="480" w:lineRule="auto"/>
        <w:rPr>
          <w:b/>
        </w:rPr>
      </w:pPr>
      <w:r>
        <w:rPr>
          <w:b/>
        </w:rPr>
        <w:t>Ab</w:t>
      </w:r>
      <w:r w:rsidR="00036025">
        <w:rPr>
          <w:b/>
        </w:rPr>
        <w:t>stract</w:t>
      </w:r>
    </w:p>
    <w:p w14:paraId="2654A1DB" w14:textId="167E6625" w:rsidR="002D15BD" w:rsidRDefault="002D15BD" w:rsidP="008D08DD">
      <w:pPr>
        <w:rPr>
          <w:color w:val="000000" w:themeColor="text1"/>
        </w:rPr>
      </w:pPr>
      <w:r w:rsidRPr="001868ED">
        <w:rPr>
          <w:color w:val="000000" w:themeColor="text1"/>
        </w:rPr>
        <w:t>As the faculties of literacy and numeracy are universally recognised as worthy</w:t>
      </w:r>
      <w:r w:rsidR="008D08DD">
        <w:rPr>
          <w:color w:val="000000" w:themeColor="text1"/>
        </w:rPr>
        <w:t xml:space="preserve"> </w:t>
      </w:r>
      <w:r w:rsidRPr="001868ED">
        <w:rPr>
          <w:color w:val="000000" w:themeColor="text1"/>
        </w:rPr>
        <w:t>of  pedagogical nurturing, so this article champions an older, graphic articulacy: </w:t>
      </w:r>
      <w:proofErr w:type="spellStart"/>
      <w:r w:rsidRPr="001868ED">
        <w:rPr>
          <w:i/>
          <w:iCs/>
          <w:color w:val="000000" w:themeColor="text1"/>
        </w:rPr>
        <w:t>visualcy</w:t>
      </w:r>
      <w:proofErr w:type="spellEnd"/>
      <w:r w:rsidRPr="001868ED">
        <w:rPr>
          <w:color w:val="000000" w:themeColor="text1"/>
        </w:rPr>
        <w:t xml:space="preserve">. </w:t>
      </w:r>
      <w:r w:rsidR="00750E6A">
        <w:rPr>
          <w:color w:val="000000" w:themeColor="text1"/>
        </w:rPr>
        <w:t>An articulacy with the language of drawing</w:t>
      </w:r>
      <w:r w:rsidRPr="001868ED">
        <w:rPr>
          <w:color w:val="000000" w:themeColor="text1"/>
        </w:rPr>
        <w:t> </w:t>
      </w:r>
      <w:r w:rsidRPr="001868ED">
        <w:rPr>
          <w:color w:val="000000" w:themeColor="text1"/>
          <w:sz w:val="16"/>
          <w:szCs w:val="16"/>
        </w:rPr>
        <w:t> </w:t>
      </w:r>
      <w:r w:rsidRPr="001868ED">
        <w:rPr>
          <w:color w:val="000000" w:themeColor="text1"/>
        </w:rPr>
        <w:t>which distinguishes the visual arts from other disciplines. It</w:t>
      </w:r>
      <w:r w:rsidR="00750E6A">
        <w:rPr>
          <w:color w:val="000000" w:themeColor="text1"/>
        </w:rPr>
        <w:t xml:space="preserve">s nurturing </w:t>
      </w:r>
      <w:r w:rsidR="001F6E5F">
        <w:rPr>
          <w:color w:val="000000" w:themeColor="text1"/>
        </w:rPr>
        <w:t>has been</w:t>
      </w:r>
      <w:r w:rsidRPr="001868ED">
        <w:rPr>
          <w:color w:val="000000" w:themeColor="text1"/>
        </w:rPr>
        <w:t xml:space="preserve"> compromised by the shift away from teaching drawing in UK secondary schools and HE art</w:t>
      </w:r>
      <w:r w:rsidR="00C4004C">
        <w:rPr>
          <w:color w:val="000000" w:themeColor="text1"/>
        </w:rPr>
        <w:t xml:space="preserve"> </w:t>
      </w:r>
      <w:r w:rsidRPr="001868ED">
        <w:rPr>
          <w:color w:val="000000" w:themeColor="text1"/>
        </w:rPr>
        <w:t>schools</w:t>
      </w:r>
      <w:r w:rsidR="00737B76">
        <w:rPr>
          <w:color w:val="000000" w:themeColor="text1"/>
        </w:rPr>
        <w:t xml:space="preserve">, even before Covid. </w:t>
      </w:r>
      <w:r w:rsidR="00F13566">
        <w:rPr>
          <w:color w:val="000000" w:themeColor="text1"/>
        </w:rPr>
        <w:t>We</w:t>
      </w:r>
      <w:r w:rsidR="001328A5">
        <w:rPr>
          <w:color w:val="000000" w:themeColor="text1"/>
        </w:rPr>
        <w:t xml:space="preserve"> </w:t>
      </w:r>
      <w:r w:rsidRPr="001868ED">
        <w:rPr>
          <w:color w:val="000000" w:themeColor="text1"/>
        </w:rPr>
        <w:t>argue that this shift is in part a consequence – perhaps unintended - of the neoliberal values permeating the UK education sector</w:t>
      </w:r>
      <w:r w:rsidR="004A21EA" w:rsidRPr="001868ED">
        <w:rPr>
          <w:color w:val="000000" w:themeColor="text1"/>
        </w:rPr>
        <w:t>.</w:t>
      </w:r>
      <w:r w:rsidRPr="001868ED">
        <w:rPr>
          <w:color w:val="000000" w:themeColor="text1"/>
        </w:rPr>
        <w:t xml:space="preserve"> The article presents</w:t>
      </w:r>
      <w:r w:rsidRPr="004351E3">
        <w:rPr>
          <w:color w:val="000000" w:themeColor="text1"/>
        </w:rPr>
        <w:t xml:space="preserve"> a critique of the </w:t>
      </w:r>
      <w:r w:rsidR="00737B76">
        <w:rPr>
          <w:color w:val="000000" w:themeColor="text1"/>
        </w:rPr>
        <w:t xml:space="preserve">those </w:t>
      </w:r>
      <w:r w:rsidRPr="004351E3">
        <w:rPr>
          <w:color w:val="000000" w:themeColor="text1"/>
        </w:rPr>
        <w:t>values see</w:t>
      </w:r>
      <w:r w:rsidR="001328A5">
        <w:rPr>
          <w:color w:val="000000" w:themeColor="text1"/>
        </w:rPr>
        <w:t>n</w:t>
      </w:r>
      <w:r w:rsidRPr="004351E3">
        <w:rPr>
          <w:color w:val="000000" w:themeColor="text1"/>
        </w:rPr>
        <w:t xml:space="preserve"> as a significant obstacle to </w:t>
      </w:r>
      <w:r w:rsidR="00DE4E7F">
        <w:rPr>
          <w:color w:val="000000" w:themeColor="text1"/>
        </w:rPr>
        <w:t>drawing’s</w:t>
      </w:r>
      <w:r w:rsidRPr="004351E3">
        <w:rPr>
          <w:color w:val="000000" w:themeColor="text1"/>
        </w:rPr>
        <w:t xml:space="preserve"> educational benefits</w:t>
      </w:r>
      <w:r w:rsidR="00C8040A">
        <w:rPr>
          <w:color w:val="000000" w:themeColor="text1"/>
        </w:rPr>
        <w:t xml:space="preserve">, and offers an optimistic basis for </w:t>
      </w:r>
      <w:r w:rsidR="00DE4E7F">
        <w:rPr>
          <w:color w:val="000000" w:themeColor="text1"/>
        </w:rPr>
        <w:t>its place in the</w:t>
      </w:r>
      <w:r w:rsidR="00C8040A">
        <w:rPr>
          <w:color w:val="000000" w:themeColor="text1"/>
        </w:rPr>
        <w:t xml:space="preserve"> curriculum</w:t>
      </w:r>
      <w:r w:rsidR="00DE4E7F">
        <w:rPr>
          <w:color w:val="000000" w:themeColor="text1"/>
        </w:rPr>
        <w:t>.</w:t>
      </w:r>
    </w:p>
    <w:p w14:paraId="54699540" w14:textId="77777777" w:rsidR="00BF5BE9" w:rsidRPr="004351E3" w:rsidRDefault="00BF5BE9" w:rsidP="002D15BD">
      <w:pPr>
        <w:rPr>
          <w:color w:val="000000" w:themeColor="text1"/>
        </w:rPr>
      </w:pPr>
    </w:p>
    <w:p w14:paraId="62DE9F21" w14:textId="4B915387" w:rsidR="00357AB5" w:rsidRDefault="00036025" w:rsidP="00036025">
      <w:pPr>
        <w:spacing w:line="480" w:lineRule="auto"/>
        <w:rPr>
          <w:b/>
        </w:rPr>
      </w:pPr>
      <w:r>
        <w:rPr>
          <w:b/>
        </w:rPr>
        <w:t>Keywords</w:t>
      </w:r>
    </w:p>
    <w:p w14:paraId="13AA6DC6" w14:textId="0361857B" w:rsidR="00036025" w:rsidRDefault="00036025" w:rsidP="00357AB5">
      <w:bookmarkStart w:id="2" w:name="OLE_LINK5"/>
      <w:bookmarkStart w:id="3" w:name="OLE_LINK6"/>
      <w:r>
        <w:t>Drawing</w:t>
      </w:r>
      <w:r w:rsidR="005538E0">
        <w:t xml:space="preserve"> as language</w:t>
      </w:r>
      <w:r>
        <w:t xml:space="preserve">; </w:t>
      </w:r>
      <w:proofErr w:type="spellStart"/>
      <w:r w:rsidR="008867C6">
        <w:t>Vi</w:t>
      </w:r>
      <w:r w:rsidR="00357AB5">
        <w:t>s</w:t>
      </w:r>
      <w:r w:rsidR="008867C6">
        <w:t>ual</w:t>
      </w:r>
      <w:r w:rsidR="00357AB5">
        <w:t>cy</w:t>
      </w:r>
      <w:proofErr w:type="spellEnd"/>
      <w:r w:rsidR="008867C6">
        <w:t>;</w:t>
      </w:r>
      <w:r w:rsidR="00597353">
        <w:t xml:space="preserve"> </w:t>
      </w:r>
      <w:r>
        <w:t xml:space="preserve">Neoliberalism; </w:t>
      </w:r>
      <w:r w:rsidR="005C4BB6">
        <w:t>Intelligence of seeing</w:t>
      </w:r>
    </w:p>
    <w:p w14:paraId="70152317" w14:textId="77777777" w:rsidR="00357AB5" w:rsidRPr="00901BCD" w:rsidRDefault="00357AB5" w:rsidP="00357AB5"/>
    <w:bookmarkEnd w:id="2"/>
    <w:bookmarkEnd w:id="3"/>
    <w:p w14:paraId="41DE83F9" w14:textId="11D9552B" w:rsidR="00036025" w:rsidRDefault="00E56D49" w:rsidP="00FF4B69">
      <w:pPr>
        <w:spacing w:line="480" w:lineRule="auto"/>
        <w:rPr>
          <w:b/>
        </w:rPr>
      </w:pPr>
      <w:r>
        <w:rPr>
          <w:b/>
        </w:rPr>
        <w:t>Preface</w:t>
      </w:r>
    </w:p>
    <w:p w14:paraId="65981703" w14:textId="68A30B11" w:rsidR="006B498F" w:rsidRPr="00B5035D" w:rsidRDefault="00B9120F" w:rsidP="00097BF7">
      <w:pPr>
        <w:spacing w:line="480" w:lineRule="auto"/>
      </w:pPr>
      <w:r>
        <w:t>This article develop</w:t>
      </w:r>
      <w:r w:rsidR="00317004">
        <w:t>ed</w:t>
      </w:r>
      <w:r>
        <w:t xml:space="preserve"> from</w:t>
      </w:r>
      <w:r w:rsidR="00890E4A">
        <w:t xml:space="preserve"> discussions between the </w:t>
      </w:r>
      <w:r w:rsidR="00F13566" w:rsidRPr="008C1EF3">
        <w:rPr>
          <w:color w:val="000000" w:themeColor="text1"/>
        </w:rPr>
        <w:t xml:space="preserve">two </w:t>
      </w:r>
      <w:r w:rsidR="006D0669" w:rsidRPr="008C1EF3">
        <w:rPr>
          <w:color w:val="000000" w:themeColor="text1"/>
        </w:rPr>
        <w:t>author</w:t>
      </w:r>
      <w:r w:rsidR="00F13566" w:rsidRPr="008C1EF3">
        <w:rPr>
          <w:color w:val="000000" w:themeColor="text1"/>
        </w:rPr>
        <w:t>s with</w:t>
      </w:r>
      <w:r w:rsidR="00B41C05" w:rsidRPr="008C1EF3">
        <w:rPr>
          <w:color w:val="000000" w:themeColor="text1"/>
        </w:rPr>
        <w:t xml:space="preserve"> </w:t>
      </w:r>
      <w:r w:rsidR="00BD031D">
        <w:t xml:space="preserve">a </w:t>
      </w:r>
      <w:r w:rsidR="00F13566">
        <w:t xml:space="preserve">common </w:t>
      </w:r>
      <w:r w:rsidR="00BD031D">
        <w:t xml:space="preserve">concern about the status of drawing pedagogy </w:t>
      </w:r>
      <w:r w:rsidR="009C6F66">
        <w:t>across</w:t>
      </w:r>
      <w:r w:rsidR="00BD031D">
        <w:t xml:space="preserve"> the UK education system.</w:t>
      </w:r>
      <w:r w:rsidR="00890E4A">
        <w:t xml:space="preserve"> </w:t>
      </w:r>
      <w:r w:rsidR="00F13566">
        <w:t>It</w:t>
      </w:r>
      <w:r w:rsidR="00B41C05">
        <w:t xml:space="preserve"> argues</w:t>
      </w:r>
      <w:r w:rsidR="00D16500">
        <w:t xml:space="preserve"> that drawing</w:t>
      </w:r>
      <w:r w:rsidR="00FE4911">
        <w:t xml:space="preserve"> is fundamental to a visual arts pedagogy</w:t>
      </w:r>
      <w:r w:rsidR="005538E0">
        <w:t xml:space="preserve"> at all </w:t>
      </w:r>
      <w:r w:rsidR="00432681">
        <w:t>levels</w:t>
      </w:r>
      <w:r w:rsidR="00A94918">
        <w:t>,</w:t>
      </w:r>
      <w:r w:rsidR="00E4173F">
        <w:t xml:space="preserve"> and for its own sake,</w:t>
      </w:r>
      <w:r w:rsidR="0074591D">
        <w:t xml:space="preserve"> </w:t>
      </w:r>
      <w:r w:rsidR="00D97C86">
        <w:t>since it is</w:t>
      </w:r>
      <w:r w:rsidR="002D134A">
        <w:t xml:space="preserve"> the basis for the development of </w:t>
      </w:r>
      <w:r w:rsidR="0055716C">
        <w:t xml:space="preserve">an </w:t>
      </w:r>
      <w:r w:rsidR="0055716C" w:rsidRPr="00374118">
        <w:rPr>
          <w:i/>
        </w:rPr>
        <w:t>intelligence of seein</w:t>
      </w:r>
      <w:r w:rsidR="00BE0715">
        <w:rPr>
          <w:i/>
        </w:rPr>
        <w:t>g</w:t>
      </w:r>
      <w:r w:rsidR="00CA4D94">
        <w:rPr>
          <w:vertAlign w:val="superscript"/>
        </w:rPr>
        <w:t>1</w:t>
      </w:r>
      <w:r w:rsidR="00BE0715">
        <w:rPr>
          <w:i/>
        </w:rPr>
        <w:t xml:space="preserve"> </w:t>
      </w:r>
      <w:r w:rsidR="00BE0715" w:rsidRPr="00C84A1C">
        <w:rPr>
          <w:color w:val="000000" w:themeColor="text1"/>
        </w:rPr>
        <w:t>(Riley 2008)</w:t>
      </w:r>
      <w:r w:rsidR="002D134A">
        <w:rPr>
          <w:color w:val="000000" w:themeColor="text1"/>
        </w:rPr>
        <w:t>.</w:t>
      </w:r>
      <w:r w:rsidR="00C84A1C" w:rsidRPr="00C84A1C">
        <w:rPr>
          <w:color w:val="000000" w:themeColor="text1"/>
        </w:rPr>
        <w:t xml:space="preserve"> </w:t>
      </w:r>
    </w:p>
    <w:p w14:paraId="661EAB53" w14:textId="7A4BC92F" w:rsidR="006B498F" w:rsidRDefault="003D067C" w:rsidP="00097BF7">
      <w:pPr>
        <w:spacing w:line="480" w:lineRule="auto"/>
        <w:rPr>
          <w:b/>
        </w:rPr>
      </w:pPr>
      <w:r w:rsidRPr="003D067C">
        <w:rPr>
          <w:b/>
        </w:rPr>
        <w:t>Why</w:t>
      </w:r>
      <w:r w:rsidR="001266ED" w:rsidRPr="003D067C">
        <w:rPr>
          <w:b/>
        </w:rPr>
        <w:t xml:space="preserve"> drawing </w:t>
      </w:r>
      <w:r w:rsidRPr="003D067C">
        <w:rPr>
          <w:b/>
        </w:rPr>
        <w:t>is</w:t>
      </w:r>
      <w:r w:rsidR="001266ED" w:rsidRPr="003D067C">
        <w:rPr>
          <w:b/>
        </w:rPr>
        <w:t xml:space="preserve"> </w:t>
      </w:r>
      <w:r w:rsidR="0064645D">
        <w:rPr>
          <w:b/>
        </w:rPr>
        <w:t>fundamental</w:t>
      </w:r>
      <w:r w:rsidR="001266ED" w:rsidRPr="003D067C">
        <w:rPr>
          <w:b/>
        </w:rPr>
        <w:t xml:space="preserve"> to </w:t>
      </w:r>
      <w:r w:rsidRPr="003D067C">
        <w:rPr>
          <w:b/>
        </w:rPr>
        <w:t xml:space="preserve">an </w:t>
      </w:r>
      <w:r w:rsidR="001266ED" w:rsidRPr="003D067C">
        <w:rPr>
          <w:b/>
        </w:rPr>
        <w:t>education system</w:t>
      </w:r>
    </w:p>
    <w:p w14:paraId="0F429F78" w14:textId="2188558D" w:rsidR="00B01C45" w:rsidRPr="002A78E6" w:rsidRDefault="00B01C45" w:rsidP="00B01C45">
      <w:pPr>
        <w:pStyle w:val="BodyText"/>
      </w:pPr>
      <w:r>
        <w:t xml:space="preserve">According to the </w:t>
      </w:r>
      <w:r>
        <w:rPr>
          <w:i/>
        </w:rPr>
        <w:t>Oxford English Dictionary</w:t>
      </w:r>
      <w:r w:rsidR="009859F0">
        <w:t xml:space="preserve"> (OED)</w:t>
      </w:r>
      <w:r>
        <w:t xml:space="preserve"> the term ‘drawing’ has deep Germanic roots, and has grown into English via Gothic, Old Norse, Old High German, Old Saxon and Old English.  Its meanings are many, but condense around the sense of pulling, as in drawing pen across paper, or drawing someone or something out.  The </w:t>
      </w:r>
      <w:r w:rsidR="002A78E6">
        <w:t>word</w:t>
      </w:r>
      <w:r>
        <w:t xml:space="preserve"> ‘educe’, meaning </w:t>
      </w:r>
      <w:r w:rsidR="00DC2633">
        <w:t>‘</w:t>
      </w:r>
      <w:r>
        <w:t xml:space="preserve">to draw forth, to bring out, develop from a condition of latent, rudimentary or merely potential </w:t>
      </w:r>
      <w:r>
        <w:lastRenderedPageBreak/>
        <w:t>existence</w:t>
      </w:r>
      <w:r w:rsidR="00DC2633">
        <w:t>’</w:t>
      </w:r>
      <w:r>
        <w:t xml:space="preserve"> (OED) has its root in the Latin </w:t>
      </w:r>
      <w:proofErr w:type="spellStart"/>
      <w:r>
        <w:rPr>
          <w:i/>
        </w:rPr>
        <w:t>educ</w:t>
      </w:r>
      <w:r w:rsidR="009859F0">
        <w:rPr>
          <w:i/>
        </w:rPr>
        <w:t>e</w:t>
      </w:r>
      <w:r>
        <w:rPr>
          <w:i/>
        </w:rPr>
        <w:t>re</w:t>
      </w:r>
      <w:proofErr w:type="spellEnd"/>
      <w:r>
        <w:t xml:space="preserve">¸ to lead out.  Hence, ‘educate’, from the Latin </w:t>
      </w:r>
      <w:proofErr w:type="spellStart"/>
      <w:r>
        <w:rPr>
          <w:i/>
        </w:rPr>
        <w:t>educare</w:t>
      </w:r>
      <w:proofErr w:type="spellEnd"/>
      <w:r>
        <w:t xml:space="preserve">, related to </w:t>
      </w:r>
      <w:proofErr w:type="spellStart"/>
      <w:r>
        <w:rPr>
          <w:i/>
        </w:rPr>
        <w:t>educere</w:t>
      </w:r>
      <w:proofErr w:type="spellEnd"/>
      <w:r>
        <w:t>.</w:t>
      </w:r>
      <w:r w:rsidR="002A78E6">
        <w:t xml:space="preserve"> </w:t>
      </w:r>
    </w:p>
    <w:p w14:paraId="09EC89D3" w14:textId="108DD1BD" w:rsidR="00B01C45" w:rsidRDefault="00B01C45" w:rsidP="00B01C45">
      <w:pPr>
        <w:pStyle w:val="BodyText"/>
      </w:pPr>
      <w:r>
        <w:t>It may be argued that the two verbs ‘to lead’ and ‘to draw’ have senses that are synonymous, which allows the fortuitous proposition that drawing is synonymous with education</w:t>
      </w:r>
      <w:r w:rsidR="000D7DB1">
        <w:t>!</w:t>
      </w:r>
      <w:r w:rsidR="002A78E6" w:rsidRPr="002A78E6">
        <w:t xml:space="preserve"> </w:t>
      </w:r>
      <w:r w:rsidR="002A78E6">
        <w:t xml:space="preserve"> But there’s more…</w:t>
      </w:r>
    </w:p>
    <w:p w14:paraId="479C85FC" w14:textId="47733D94" w:rsidR="00432681" w:rsidRDefault="002A78E6" w:rsidP="00097BF7">
      <w:pPr>
        <w:spacing w:line="480" w:lineRule="auto"/>
      </w:pPr>
      <w:r>
        <w:t>D</w:t>
      </w:r>
      <w:r w:rsidR="000D7DB1">
        <w:t>rawing has been a prime means of</w:t>
      </w:r>
      <w:r w:rsidR="00B022BB">
        <w:t xml:space="preserve"> acquiring and</w:t>
      </w:r>
      <w:r w:rsidR="000D7DB1">
        <w:t xml:space="preserve"> </w:t>
      </w:r>
      <w:r w:rsidR="00B022BB">
        <w:t>communicating</w:t>
      </w:r>
      <w:r w:rsidR="000D7DB1">
        <w:t xml:space="preserve"> knowledge and understanding</w:t>
      </w:r>
      <w:r w:rsidR="005E17C2">
        <w:t xml:space="preserve"> </w:t>
      </w:r>
      <w:r w:rsidR="000D7DB1">
        <w:t xml:space="preserve">from our species’ </w:t>
      </w:r>
      <w:r>
        <w:t xml:space="preserve">first </w:t>
      </w:r>
      <w:r w:rsidR="000D7DB1">
        <w:t>appearance on the planet: o</w:t>
      </w:r>
      <w:r w:rsidR="005E121F">
        <w:t>ne of our earliest drives</w:t>
      </w:r>
      <w:r w:rsidR="00CA4D94">
        <w:rPr>
          <w:vertAlign w:val="superscript"/>
        </w:rPr>
        <w:t>2</w:t>
      </w:r>
      <w:r w:rsidR="005E121F">
        <w:t xml:space="preserve"> as human beings was to </w:t>
      </w:r>
      <w:r w:rsidR="006E6BB4">
        <w:t>invent</w:t>
      </w:r>
      <w:r w:rsidR="005E121F">
        <w:t xml:space="preserve"> shareable visual equivalents for </w:t>
      </w:r>
      <w:r w:rsidR="000D7DB1">
        <w:t>our</w:t>
      </w:r>
      <w:r w:rsidR="005E121F">
        <w:t xml:space="preserve"> perceptual experiences of natural phenomena through</w:t>
      </w:r>
      <w:r w:rsidR="00A94918">
        <w:t xml:space="preserve"> the </w:t>
      </w:r>
      <w:r w:rsidR="007C7741">
        <w:t>most direct</w:t>
      </w:r>
      <w:r w:rsidR="00A94918">
        <w:t xml:space="preserve"> means of </w:t>
      </w:r>
      <w:r w:rsidR="00CE76D5">
        <w:t xml:space="preserve">engaging with, and </w:t>
      </w:r>
      <w:r w:rsidR="00A94918">
        <w:t xml:space="preserve">communicating </w:t>
      </w:r>
      <w:r w:rsidR="001C40A0">
        <w:t>results of that inquiry</w:t>
      </w:r>
      <w:r w:rsidR="005E121F">
        <w:t>:</w:t>
      </w:r>
      <w:r w:rsidR="001C40A0">
        <w:t xml:space="preserve"> the language of drawing (Riley 2019).</w:t>
      </w:r>
      <w:r w:rsidR="00631336">
        <w:t xml:space="preserve"> </w:t>
      </w:r>
      <w:r w:rsidR="00D3781C">
        <w:t xml:space="preserve">Steven </w:t>
      </w:r>
      <w:proofErr w:type="spellStart"/>
      <w:r w:rsidR="00D3781C">
        <w:t>Mithen</w:t>
      </w:r>
      <w:proofErr w:type="spellEnd"/>
      <w:r w:rsidR="00D3781C">
        <w:t xml:space="preserve"> (1996:159-60) explains our capacity for visual art </w:t>
      </w:r>
      <w:r w:rsidR="00D0449E">
        <w:t xml:space="preserve">emerged </w:t>
      </w:r>
      <w:r w:rsidR="00D3781C">
        <w:t xml:space="preserve">as the product of a </w:t>
      </w:r>
      <w:r w:rsidR="005D6B66">
        <w:t>‘</w:t>
      </w:r>
      <w:r w:rsidR="00D3781C">
        <w:t>cognitive fluidity</w:t>
      </w:r>
      <w:r w:rsidR="005D6B66">
        <w:t>’</w:t>
      </w:r>
      <w:r w:rsidR="00D3781C">
        <w:t xml:space="preserve"> resulting from the amalgamation of three types of intelligence: a natural history intelligence; a social intelligence; and a technical intelligence</w:t>
      </w:r>
      <w:r w:rsidR="00A26101">
        <w:t xml:space="preserve">, </w:t>
      </w:r>
      <w:r w:rsidR="00FC6D96">
        <w:t>early</w:t>
      </w:r>
      <w:r w:rsidR="00A26101">
        <w:t xml:space="preserve"> indications of which may still be seen in caves around the world.</w:t>
      </w:r>
      <w:r w:rsidR="00D77486">
        <w:t xml:space="preserve"> Let’s not  allow such fluidity to </w:t>
      </w:r>
      <w:r w:rsidR="00250CE6">
        <w:t>become quiescent</w:t>
      </w:r>
      <w:r w:rsidR="00D77486">
        <w:t>, simply because we have the means</w:t>
      </w:r>
      <w:r w:rsidR="005F6A14">
        <w:t xml:space="preserve"> at our fingertips</w:t>
      </w:r>
      <w:r w:rsidR="00D77486">
        <w:t xml:space="preserve"> to capture images without even looking</w:t>
      </w:r>
      <w:r w:rsidR="00D6326C">
        <w:t xml:space="preserve"> (the digital at our digits!)</w:t>
      </w:r>
      <w:r w:rsidR="00591C99">
        <w:t>,</w:t>
      </w:r>
      <w:r w:rsidR="00D6326C">
        <w:t xml:space="preserve"> </w:t>
      </w:r>
      <w:r w:rsidR="00C80337">
        <w:t>obviating</w:t>
      </w:r>
      <w:r w:rsidR="005C4BB6">
        <w:t xml:space="preserve"> the </w:t>
      </w:r>
      <w:r w:rsidR="00C80337">
        <w:t>opportunity</w:t>
      </w:r>
      <w:r w:rsidR="005C4BB6">
        <w:t xml:space="preserve"> for</w:t>
      </w:r>
      <w:r w:rsidR="00C80337">
        <w:t xml:space="preserve"> meaningful engagement, for</w:t>
      </w:r>
      <w:r w:rsidR="005C4BB6">
        <w:t xml:space="preserve"> contemplati</w:t>
      </w:r>
      <w:r w:rsidR="00C80337">
        <w:t>on of</w:t>
      </w:r>
      <w:r w:rsidR="005C4BB6">
        <w:t xml:space="preserve"> how </w:t>
      </w:r>
      <w:r w:rsidR="00F75F03">
        <w:t>our</w:t>
      </w:r>
      <w:r w:rsidR="005C4BB6">
        <w:t xml:space="preserve"> </w:t>
      </w:r>
      <w:r w:rsidR="005C4BB6" w:rsidRPr="002D15BD">
        <w:rPr>
          <w:i/>
        </w:rPr>
        <w:t xml:space="preserve">visual </w:t>
      </w:r>
      <w:r w:rsidR="00F75F03">
        <w:rPr>
          <w:i/>
        </w:rPr>
        <w:t xml:space="preserve">field </w:t>
      </w:r>
      <w:r w:rsidR="00F75F03">
        <w:t>(the extent of the array</w:t>
      </w:r>
      <w:r w:rsidR="00803787">
        <w:t>s</w:t>
      </w:r>
      <w:r w:rsidR="00F75F03">
        <w:t xml:space="preserve"> of light arriving at our eyes) relates to the </w:t>
      </w:r>
      <w:r w:rsidR="00F75F03">
        <w:rPr>
          <w:i/>
        </w:rPr>
        <w:t xml:space="preserve">visual </w:t>
      </w:r>
      <w:r w:rsidR="005C4BB6" w:rsidRPr="002D15BD">
        <w:rPr>
          <w:i/>
        </w:rPr>
        <w:t>scene</w:t>
      </w:r>
      <w:r w:rsidR="00F75F03">
        <w:rPr>
          <w:i/>
        </w:rPr>
        <w:t xml:space="preserve"> </w:t>
      </w:r>
      <w:r w:rsidR="00F75F03">
        <w:t>(the layout of</w:t>
      </w:r>
      <w:r w:rsidR="005C4BB6">
        <w:t xml:space="preserve"> </w:t>
      </w:r>
      <w:r w:rsidR="00F75F03" w:rsidRPr="003063D4">
        <w:t>material surfaces and edges</w:t>
      </w:r>
      <w:r w:rsidR="00782836">
        <w:t xml:space="preserve"> </w:t>
      </w:r>
      <w:r w:rsidR="00803787">
        <w:t xml:space="preserve">we see) </w:t>
      </w:r>
      <w:r w:rsidR="00782836">
        <w:t xml:space="preserve">and our position relative to our environment; </w:t>
      </w:r>
      <w:r w:rsidR="00B17B1B">
        <w:t>together with</w:t>
      </w:r>
      <w:r w:rsidR="00D6326C">
        <w:t xml:space="preserve"> </w:t>
      </w:r>
      <w:r w:rsidR="005C4BB6">
        <w:t>how that relationship may be shared, communicated through drawn equivalents</w:t>
      </w:r>
      <w:r w:rsidR="00C80337">
        <w:t xml:space="preserve">: </w:t>
      </w:r>
      <w:r w:rsidR="004629C3">
        <w:t xml:space="preserve">selections from </w:t>
      </w:r>
      <w:r w:rsidR="00C80337">
        <w:t xml:space="preserve">the </w:t>
      </w:r>
      <w:r w:rsidR="004629C3">
        <w:t>paradigms</w:t>
      </w:r>
      <w:r w:rsidR="005C4BB6">
        <w:t xml:space="preserve"> of line, shape, tone, colour and texture</w:t>
      </w:r>
      <w:r w:rsidR="00D6326C">
        <w:t>,</w:t>
      </w:r>
      <w:r w:rsidR="005C4BB6">
        <w:t xml:space="preserve">  </w:t>
      </w:r>
      <w:r w:rsidR="00073114">
        <w:t xml:space="preserve">combined </w:t>
      </w:r>
      <w:r w:rsidR="00C80337">
        <w:t>syntactical</w:t>
      </w:r>
      <w:r w:rsidR="00073114">
        <w:t>ly,</w:t>
      </w:r>
      <w:r w:rsidR="004629C3">
        <w:t xml:space="preserve"> </w:t>
      </w:r>
      <w:r w:rsidR="005C4BB6">
        <w:t xml:space="preserve"> producing</w:t>
      </w:r>
      <w:r w:rsidR="00073114">
        <w:t xml:space="preserve"> effects of</w:t>
      </w:r>
      <w:r w:rsidR="005C4BB6">
        <w:t xml:space="preserve"> scale, proportion, contrast, pattern and rhythm.</w:t>
      </w:r>
      <w:r w:rsidR="0044491E">
        <w:t xml:space="preserve"> Such visual articulacy, affording the production of alternative constructions, becomes the means to visual creativity</w:t>
      </w:r>
      <w:r w:rsidR="003878A7">
        <w:t>: the visual means of sharing new ideas across the whole range of academic disciplines.</w:t>
      </w:r>
      <w:r w:rsidR="00F57CDB">
        <w:t xml:space="preserve"> </w:t>
      </w:r>
      <w:r w:rsidR="00F65F16" w:rsidDel="00F65F16">
        <w:rPr>
          <w:rStyle w:val="CommentReference"/>
        </w:rPr>
        <w:t xml:space="preserve"> </w:t>
      </w:r>
    </w:p>
    <w:p w14:paraId="168ECBD0" w14:textId="0F6CDB6F" w:rsidR="005F6A14" w:rsidRDefault="002D134A" w:rsidP="00097BF7">
      <w:pPr>
        <w:spacing w:line="480" w:lineRule="auto"/>
      </w:pPr>
      <w:r>
        <w:lastRenderedPageBreak/>
        <w:t>T</w:t>
      </w:r>
      <w:r w:rsidR="00A636B9">
        <w:t>he argument for drawing</w:t>
      </w:r>
      <w:r w:rsidR="00B022BB">
        <w:t>’s place</w:t>
      </w:r>
      <w:r w:rsidR="00A636B9">
        <w:t xml:space="preserve"> in the curriculum is too persuasive to ignore</w:t>
      </w:r>
      <w:r w:rsidR="005F6A14">
        <w:t>:</w:t>
      </w:r>
      <w:r w:rsidR="00A636B9">
        <w:t xml:space="preserve"> </w:t>
      </w:r>
      <w:r w:rsidR="00AF0BA2">
        <w:t xml:space="preserve">it has been </w:t>
      </w:r>
      <w:r w:rsidR="00C577FF">
        <w:t>recognised</w:t>
      </w:r>
      <w:r w:rsidR="00B5383A">
        <w:t xml:space="preserve"> for some time</w:t>
      </w:r>
      <w:r w:rsidR="00A636B9">
        <w:t xml:space="preserve"> that the inclusion of </w:t>
      </w:r>
      <w:r w:rsidR="00AF0BA2">
        <w:t xml:space="preserve"> the </w:t>
      </w:r>
      <w:r w:rsidR="00A636B9">
        <w:t>arts</w:t>
      </w:r>
      <w:r w:rsidR="00AF0BA2">
        <w:t xml:space="preserve"> in</w:t>
      </w:r>
      <w:r w:rsidR="00A636B9">
        <w:t xml:space="preserve"> education  </w:t>
      </w:r>
      <w:r w:rsidR="00C10DEF">
        <w:t>can</w:t>
      </w:r>
      <w:r w:rsidR="00A636B9">
        <w:t xml:space="preserve"> enhance learning in non-arts domains (Winner and </w:t>
      </w:r>
      <w:proofErr w:type="spellStart"/>
      <w:r w:rsidR="00A636B9">
        <w:t>Hetland</w:t>
      </w:r>
      <w:proofErr w:type="spellEnd"/>
      <w:r w:rsidR="00A636B9">
        <w:t xml:space="preserve"> 2000</w:t>
      </w:r>
      <w:r w:rsidR="00E476CD">
        <w:t xml:space="preserve">; Winner, </w:t>
      </w:r>
      <w:proofErr w:type="spellStart"/>
      <w:r w:rsidR="00E476CD">
        <w:t>Hetland</w:t>
      </w:r>
      <w:proofErr w:type="spellEnd"/>
      <w:r w:rsidR="00E476CD">
        <w:t xml:space="preserve"> et al. 2019</w:t>
      </w:r>
      <w:r w:rsidR="005E10A4">
        <w:t>; Simmonds 2021</w:t>
      </w:r>
      <w:r w:rsidR="00E476CD">
        <w:t>)</w:t>
      </w:r>
      <w:r w:rsidR="00595702">
        <w:t xml:space="preserve">, </w:t>
      </w:r>
      <w:r w:rsidR="00C77B22">
        <w:t xml:space="preserve"> </w:t>
      </w:r>
      <w:r w:rsidR="00595702">
        <w:t>but</w:t>
      </w:r>
      <w:r w:rsidR="00F65F16">
        <w:t xml:space="preserve"> </w:t>
      </w:r>
      <w:r w:rsidR="00595702">
        <w:t>t</w:t>
      </w:r>
      <w:r w:rsidR="004F2CA1">
        <w:t>his article argues that drawing, specifical</w:t>
      </w:r>
      <w:r w:rsidR="00AF0BA2">
        <w:t>ly, positively promotes learning across the curriculum</w:t>
      </w:r>
      <w:r w:rsidR="00E476CD">
        <w:t>, as</w:t>
      </w:r>
      <w:r w:rsidR="00EE2ECB">
        <w:t xml:space="preserve"> </w:t>
      </w:r>
      <w:r w:rsidR="00C10DEF">
        <w:t xml:space="preserve">Princeton academic Judith Fan (2015: 170) </w:t>
      </w:r>
      <w:r w:rsidR="00661748">
        <w:t>confirms</w:t>
      </w:r>
      <w:r w:rsidR="00C10DEF">
        <w:t>:</w:t>
      </w:r>
    </w:p>
    <w:p w14:paraId="6052CD00" w14:textId="4332A7A9" w:rsidR="00C10DEF" w:rsidRDefault="00C10DEF" w:rsidP="00C10DEF">
      <w:pPr>
        <w:ind w:left="720"/>
      </w:pPr>
      <w:r>
        <w:t>…evidence from the cognitive science and educational research literatures that bears on the question of how drawing, the most basic visualization technique, interacts with cognitive functions that are core to scientific thinking, including: observation, problem-solving, explanation, and communication. Expanding the role of graphical literacy in science education may carry the potential to better reveal to students the dynamic and inquiry-based nature of scientific thinking, especially in contexts where  visual representations have traditionally been subordinate to linguistic and numerical representations.</w:t>
      </w:r>
    </w:p>
    <w:p w14:paraId="0956C9C7" w14:textId="77777777" w:rsidR="00C10DEF" w:rsidRDefault="00C10DEF" w:rsidP="00EE2ECB">
      <w:pPr>
        <w:ind w:left="720"/>
      </w:pPr>
    </w:p>
    <w:p w14:paraId="71E6A003" w14:textId="4CDD0876" w:rsidR="00484511" w:rsidRDefault="00484511" w:rsidP="00484511">
      <w:pPr>
        <w:spacing w:line="480" w:lineRule="auto"/>
        <w:rPr>
          <w:color w:val="0070C0"/>
          <w:vertAlign w:val="superscript"/>
        </w:rPr>
      </w:pPr>
      <w:r>
        <w:rPr>
          <w:b/>
        </w:rPr>
        <w:t>The Contemporary Problem (and where it came from)</w:t>
      </w:r>
      <w:r w:rsidR="00E4173F">
        <w:rPr>
          <w:b/>
        </w:rPr>
        <w:t xml:space="preserve"> </w:t>
      </w:r>
    </w:p>
    <w:p w14:paraId="5C981E6A" w14:textId="67762E74" w:rsidR="00344C99" w:rsidRPr="008961D3" w:rsidRDefault="00BB597D" w:rsidP="00097BF7">
      <w:pPr>
        <w:spacing w:line="480" w:lineRule="auto"/>
      </w:pPr>
      <w:r>
        <w:t xml:space="preserve">It would be </w:t>
      </w:r>
      <w:r w:rsidR="008961D3">
        <w:t>encouraging</w:t>
      </w:r>
      <w:r>
        <w:t xml:space="preserve"> to report</w:t>
      </w:r>
      <w:r w:rsidR="00EE2ECB">
        <w:t xml:space="preserve"> even more recent</w:t>
      </w:r>
      <w:r w:rsidR="00A45711">
        <w:t xml:space="preserve"> evidence of a rethinking of </w:t>
      </w:r>
      <w:r w:rsidR="00AF43C0" w:rsidRPr="00A031B5">
        <w:rPr>
          <w:color w:val="000000" w:themeColor="text1"/>
        </w:rPr>
        <w:t xml:space="preserve"> the </w:t>
      </w:r>
      <w:r w:rsidR="00A45711">
        <w:t>secondary schools</w:t>
      </w:r>
      <w:r w:rsidR="00AF43C0">
        <w:t>’</w:t>
      </w:r>
      <w:r w:rsidR="00A45711">
        <w:t xml:space="preserve"> curricu</w:t>
      </w:r>
      <w:r w:rsidR="00A45711" w:rsidRPr="008208BA">
        <w:rPr>
          <w:color w:val="000000" w:themeColor="text1"/>
        </w:rPr>
        <w:t>l</w:t>
      </w:r>
      <w:r w:rsidR="00AF43C0" w:rsidRPr="008208BA">
        <w:rPr>
          <w:color w:val="000000" w:themeColor="text1"/>
        </w:rPr>
        <w:t>um</w:t>
      </w:r>
      <w:r w:rsidR="008961D3">
        <w:t xml:space="preserve"> with specific references to the centrality of drawing. </w:t>
      </w:r>
      <w:r w:rsidR="0087262A">
        <w:t>Announcements of t</w:t>
      </w:r>
      <w:r w:rsidR="00AE132E">
        <w:t>wo recent reviews raised hopes…</w:t>
      </w:r>
      <w:r w:rsidR="00122EE5">
        <w:t xml:space="preserve">firstly, </w:t>
      </w:r>
      <w:r w:rsidR="008961D3">
        <w:t xml:space="preserve">The </w:t>
      </w:r>
      <w:r w:rsidR="008961D3">
        <w:rPr>
          <w:i/>
        </w:rPr>
        <w:t xml:space="preserve">Durham Commission on Creativity and Education </w:t>
      </w:r>
      <w:r w:rsidR="00DB27E3">
        <w:t xml:space="preserve">(2019) </w:t>
      </w:r>
      <w:r w:rsidR="00CE5B20">
        <w:t>chaired by Nicholas Serota</w:t>
      </w:r>
      <w:r w:rsidR="008961D3">
        <w:t xml:space="preserve"> </w:t>
      </w:r>
      <w:r w:rsidR="00C456C5">
        <w:t xml:space="preserve">was one such opportunity, </w:t>
      </w:r>
      <w:r w:rsidR="008961D3">
        <w:t xml:space="preserve">the result of an inquiry set up in September 2017 </w:t>
      </w:r>
      <w:r w:rsidR="00CB5508">
        <w:t>by</w:t>
      </w:r>
      <w:r w:rsidR="008961D3">
        <w:t xml:space="preserve"> Durham University and Arts Council England. </w:t>
      </w:r>
      <w:r w:rsidR="00870C04">
        <w:t>But instead i</w:t>
      </w:r>
      <w:r w:rsidR="00CB5E7C">
        <w:t>t adopts</w:t>
      </w:r>
      <w:r w:rsidR="00526541">
        <w:t xml:space="preserve"> </w:t>
      </w:r>
      <w:r w:rsidR="009F3BE3">
        <w:t xml:space="preserve"> earlier</w:t>
      </w:r>
      <w:r w:rsidR="00407AC1">
        <w:t xml:space="preserve"> work by </w:t>
      </w:r>
      <w:r w:rsidR="00526541">
        <w:t>Government advisors</w:t>
      </w:r>
      <w:r w:rsidR="00CB5E7C">
        <w:t xml:space="preserve"> </w:t>
      </w:r>
      <w:r w:rsidR="00D96B69">
        <w:t xml:space="preserve">John </w:t>
      </w:r>
      <w:r w:rsidR="00CB5E7C">
        <w:t xml:space="preserve">Sorrell, </w:t>
      </w:r>
      <w:r w:rsidR="00D96B69">
        <w:t xml:space="preserve">Paul </w:t>
      </w:r>
      <w:r w:rsidR="00CB5E7C">
        <w:t xml:space="preserve">Roberts and </w:t>
      </w:r>
      <w:r w:rsidR="00D96B69">
        <w:t xml:space="preserve">Darren </w:t>
      </w:r>
      <w:r w:rsidR="00CB5E7C">
        <w:t>Henley (201</w:t>
      </w:r>
      <w:r w:rsidR="009F3BE3">
        <w:t>4</w:t>
      </w:r>
      <w:r w:rsidR="00CB5E7C">
        <w:t>)</w:t>
      </w:r>
      <w:r w:rsidR="00407AC1">
        <w:t>, and their</w:t>
      </w:r>
      <w:r w:rsidR="00CB5E7C">
        <w:t xml:space="preserve"> </w:t>
      </w:r>
      <w:r w:rsidR="004A6E97">
        <w:t>incongruent</w:t>
      </w:r>
      <w:r w:rsidR="00482A85">
        <w:t xml:space="preserve"> </w:t>
      </w:r>
      <w:r w:rsidR="00767E96">
        <w:t>triad</w:t>
      </w:r>
      <w:r w:rsidR="00CB5E7C">
        <w:t xml:space="preserve"> of</w:t>
      </w:r>
      <w:r w:rsidR="00870C04">
        <w:t xml:space="preserve"> </w:t>
      </w:r>
      <w:r w:rsidR="00CB5E7C">
        <w:t xml:space="preserve"> ‘…literacy, numeracy and creativity (as) the three central pillars of any strong education offer’ (Durham 20</w:t>
      </w:r>
      <w:r w:rsidR="00CE5B20">
        <w:t>19</w:t>
      </w:r>
      <w:r w:rsidR="00CB5E7C">
        <w:t>: 35).</w:t>
      </w:r>
      <w:r w:rsidR="008961D3">
        <w:t xml:space="preserve"> </w:t>
      </w:r>
      <w:r w:rsidR="00CB5E7C">
        <w:t>C</w:t>
      </w:r>
      <w:r w:rsidR="008961D3">
        <w:t>reativity</w:t>
      </w:r>
      <w:r w:rsidR="00CB5E7C">
        <w:t xml:space="preserve"> is defined</w:t>
      </w:r>
      <w:r w:rsidR="008961D3">
        <w:t xml:space="preserve"> as ‘The capacity to imagine, conceive, express, or make something that was not there before’. </w:t>
      </w:r>
      <w:r w:rsidR="00407AC1">
        <w:t>No mention of</w:t>
      </w:r>
      <w:r w:rsidR="008961D3">
        <w:t xml:space="preserve"> drawing </w:t>
      </w:r>
      <w:r w:rsidR="00407AC1">
        <w:t>a</w:t>
      </w:r>
      <w:r w:rsidR="008961D3">
        <w:t>s</w:t>
      </w:r>
      <w:r w:rsidR="006145BC">
        <w:t xml:space="preserve"> the most direct means of such expression, </w:t>
      </w:r>
      <w:r w:rsidR="00C45FA6">
        <w:t>or its function as</w:t>
      </w:r>
      <w:r w:rsidR="006145BC">
        <w:t xml:space="preserve"> a key stage in the making of anything</w:t>
      </w:r>
      <w:r w:rsidR="00073114">
        <w:t>, a</w:t>
      </w:r>
      <w:r w:rsidR="006145BC">
        <w:t>s Patrick Maynard (2005: xv) reminds us: ‘A modern world could not exist without drawing, since all the manufactured items of that world, including cameras, must be drawn several times before they can be made, and many could not be used without further drawings’.</w:t>
      </w:r>
    </w:p>
    <w:p w14:paraId="2A9C0EF6" w14:textId="31DD289C" w:rsidR="00A636B9" w:rsidRDefault="00122EE5" w:rsidP="00097BF7">
      <w:pPr>
        <w:spacing w:line="480" w:lineRule="auto"/>
      </w:pPr>
      <w:r>
        <w:lastRenderedPageBreak/>
        <w:t>Second</w:t>
      </w:r>
      <w:r w:rsidR="008F04E6">
        <w:t>ly</w:t>
      </w:r>
      <w:r>
        <w:t>, t</w:t>
      </w:r>
      <w:r w:rsidR="008B65B0">
        <w:t xml:space="preserve">he Welsh </w:t>
      </w:r>
      <w:r w:rsidR="008F04E6">
        <w:t>Government</w:t>
      </w:r>
      <w:r w:rsidR="008B65B0">
        <w:t xml:space="preserve">’s </w:t>
      </w:r>
      <w:r w:rsidR="008B65B0">
        <w:rPr>
          <w:i/>
        </w:rPr>
        <w:t xml:space="preserve">The Curriculum for Wales </w:t>
      </w:r>
      <w:r w:rsidR="008961D3">
        <w:t xml:space="preserve">was </w:t>
      </w:r>
      <w:r w:rsidR="008B65B0">
        <w:t xml:space="preserve">published 28 January 2020 in response to Graham Donaldson’s commissioned report of February 2015, </w:t>
      </w:r>
      <w:r w:rsidR="008B65B0">
        <w:rPr>
          <w:i/>
        </w:rPr>
        <w:t xml:space="preserve">Successful Futures, </w:t>
      </w:r>
      <w:r w:rsidR="008B65B0">
        <w:t>an independent review of curriculum and assessment arrangements in Wales</w:t>
      </w:r>
      <w:r w:rsidR="00073114">
        <w:rPr>
          <w:iCs/>
        </w:rPr>
        <w:t>:</w:t>
      </w:r>
      <w:r w:rsidR="008B65B0" w:rsidRPr="00962935">
        <w:t xml:space="preserve"> </w:t>
      </w:r>
      <w:r w:rsidR="008B65B0">
        <w:t>six areas of learning</w:t>
      </w:r>
      <w:r w:rsidR="008B65B0">
        <w:rPr>
          <w:i/>
        </w:rPr>
        <w:t xml:space="preserve"> </w:t>
      </w:r>
      <w:r w:rsidR="008B65B0" w:rsidRPr="00962935">
        <w:t>are identified,</w:t>
      </w:r>
      <w:r w:rsidR="008B65B0">
        <w:rPr>
          <w:i/>
        </w:rPr>
        <w:t xml:space="preserve"> </w:t>
      </w:r>
      <w:r w:rsidR="008B65B0">
        <w:t>one of these, the ‘expressive arts’, is sub-divided into</w:t>
      </w:r>
      <w:r w:rsidR="008B65B0" w:rsidRPr="001E2559">
        <w:rPr>
          <w:i/>
        </w:rPr>
        <w:t xml:space="preserve"> art, dance, drama, film and digital media, </w:t>
      </w:r>
      <w:r w:rsidR="008B65B0" w:rsidRPr="001E2559">
        <w:t>and</w:t>
      </w:r>
      <w:r w:rsidR="008B65B0" w:rsidRPr="001E2559">
        <w:rPr>
          <w:i/>
        </w:rPr>
        <w:t xml:space="preserve"> music</w:t>
      </w:r>
      <w:r w:rsidR="008B65B0">
        <w:t xml:space="preserve">. Under Section 5 of the document, sub-titled </w:t>
      </w:r>
      <w:r w:rsidR="008B65B0">
        <w:rPr>
          <w:i/>
        </w:rPr>
        <w:t xml:space="preserve">Designing Your Curriculum, </w:t>
      </w:r>
      <w:r w:rsidR="008B65B0">
        <w:t>presumably addressed to teachers,</w:t>
      </w:r>
      <w:r w:rsidR="008B65B0">
        <w:rPr>
          <w:i/>
        </w:rPr>
        <w:t xml:space="preserve"> </w:t>
      </w:r>
      <w:r w:rsidR="008B65B0">
        <w:t xml:space="preserve">a list referring specifically to </w:t>
      </w:r>
      <w:r w:rsidR="008B65B0" w:rsidRPr="001E2559">
        <w:rPr>
          <w:i/>
        </w:rPr>
        <w:t>art</w:t>
      </w:r>
      <w:r w:rsidR="008B65B0">
        <w:t xml:space="preserve"> appears, leading</w:t>
      </w:r>
      <w:r w:rsidR="006F29E2">
        <w:t>, a little confusingly,</w:t>
      </w:r>
      <w:r w:rsidR="008B65B0">
        <w:t xml:space="preserve"> </w:t>
      </w:r>
      <w:r w:rsidR="00A55952" w:rsidRPr="00700DF2">
        <w:rPr>
          <w:color w:val="000000" w:themeColor="text1"/>
        </w:rPr>
        <w:t xml:space="preserve">because of undue alphabetical precedence, </w:t>
      </w:r>
      <w:r w:rsidR="008B65B0">
        <w:t xml:space="preserve">with ‘architectural design’ and ‘advertising’. </w:t>
      </w:r>
      <w:r w:rsidR="006F29E2">
        <w:t>The two generic terms</w:t>
      </w:r>
      <w:r w:rsidR="008B65B0">
        <w:t xml:space="preserve"> ‘craft’ and ‘design’ are then listed</w:t>
      </w:r>
      <w:r w:rsidR="006F29E2">
        <w:t xml:space="preserve"> under the heading ‘art’</w:t>
      </w:r>
      <w:r w:rsidR="00B17B1B">
        <w:t>;</w:t>
      </w:r>
      <w:r w:rsidR="008B65B0">
        <w:t xml:space="preserve"> </w:t>
      </w:r>
      <w:r w:rsidR="00B17B1B">
        <w:t xml:space="preserve">tautologically, </w:t>
      </w:r>
      <w:r w:rsidR="006F29E2">
        <w:t>since</w:t>
      </w:r>
      <w:r w:rsidR="008B65B0">
        <w:t xml:space="preserve"> specific</w:t>
      </w:r>
      <w:r w:rsidR="00B17B1B">
        <w:t xml:space="preserve"> </w:t>
      </w:r>
      <w:r w:rsidR="008B65B0">
        <w:t xml:space="preserve"> </w:t>
      </w:r>
      <w:r w:rsidR="00A45711">
        <w:t xml:space="preserve">material-based </w:t>
      </w:r>
      <w:r w:rsidR="00AC39DE">
        <w:t xml:space="preserve">traditional craft  </w:t>
      </w:r>
      <w:r w:rsidR="00A45711">
        <w:t>practices</w:t>
      </w:r>
      <w:r w:rsidR="008B65B0">
        <w:t xml:space="preserve"> such as ceramics and textiles</w:t>
      </w:r>
      <w:r w:rsidR="00803787">
        <w:t>,</w:t>
      </w:r>
      <w:r w:rsidR="00CB5508">
        <w:t xml:space="preserve"> </w:t>
      </w:r>
      <w:r w:rsidR="008B65B0">
        <w:t>and</w:t>
      </w:r>
      <w:r w:rsidR="00CB5508">
        <w:t xml:space="preserve"> </w:t>
      </w:r>
      <w:r w:rsidR="0090235E">
        <w:t>design specialisms</w:t>
      </w:r>
      <w:r w:rsidR="008B65B0">
        <w:t xml:space="preserve"> of packaging</w:t>
      </w:r>
      <w:r w:rsidR="0090235E">
        <w:t>,</w:t>
      </w:r>
      <w:r w:rsidR="008B65B0">
        <w:t xml:space="preserve"> interior</w:t>
      </w:r>
      <w:r w:rsidR="0090235E">
        <w:t>s and</w:t>
      </w:r>
      <w:r w:rsidR="004938E7">
        <w:t xml:space="preserve"> communication graphics</w:t>
      </w:r>
      <w:r w:rsidR="006F29E2">
        <w:t xml:space="preserve"> a</w:t>
      </w:r>
      <w:r w:rsidR="00AC39DE">
        <w:t>re included</w:t>
      </w:r>
      <w:r w:rsidR="006F29E2">
        <w:t xml:space="preserve"> too</w:t>
      </w:r>
      <w:r w:rsidR="008B65B0">
        <w:t>. However, ‘</w:t>
      </w:r>
      <w:r w:rsidR="00661748">
        <w:t>d</w:t>
      </w:r>
      <w:r w:rsidR="008B65B0">
        <w:t xml:space="preserve">rawing’ </w:t>
      </w:r>
      <w:r w:rsidR="00870C04">
        <w:t>does</w:t>
      </w:r>
      <w:r w:rsidR="008B65B0">
        <w:t xml:space="preserve"> appear</w:t>
      </w:r>
      <w:r w:rsidR="00870C04">
        <w:t>!</w:t>
      </w:r>
      <w:r w:rsidR="008B65B0">
        <w:t xml:space="preserve"> </w:t>
      </w:r>
      <w:r w:rsidR="00870C04" w:rsidRPr="008F04E6">
        <w:rPr>
          <w:i/>
          <w:iCs/>
        </w:rPr>
        <w:t>E</w:t>
      </w:r>
      <w:r w:rsidR="008B65B0" w:rsidRPr="008F04E6">
        <w:rPr>
          <w:i/>
          <w:iCs/>
        </w:rPr>
        <w:t>ighth</w:t>
      </w:r>
      <w:r w:rsidR="00870C04">
        <w:t xml:space="preserve"> (</w:t>
      </w:r>
      <w:r w:rsidR="00353EB8">
        <w:t xml:space="preserve">yes - </w:t>
      </w:r>
      <w:r w:rsidR="00870C04">
        <w:t>8</w:t>
      </w:r>
      <w:r w:rsidR="00870C04" w:rsidRPr="00767E96">
        <w:rPr>
          <w:vertAlign w:val="superscript"/>
        </w:rPr>
        <w:t>th</w:t>
      </w:r>
      <w:r w:rsidR="00870C04">
        <w:t>)</w:t>
      </w:r>
      <w:r w:rsidR="008B65B0">
        <w:t xml:space="preserve"> in this list of recommended areas of learning</w:t>
      </w:r>
      <w:r w:rsidR="00BF119D">
        <w:t xml:space="preserve">, even though any sensible teacher would recognise its </w:t>
      </w:r>
      <w:r w:rsidR="00AC39DE">
        <w:t>priority</w:t>
      </w:r>
      <w:r w:rsidR="00BF119D">
        <w:t xml:space="preserve"> in the </w:t>
      </w:r>
      <w:r w:rsidR="00AC39DE">
        <w:t xml:space="preserve">visual </w:t>
      </w:r>
      <w:r w:rsidR="00BF119D">
        <w:t xml:space="preserve">realisation of ideas in </w:t>
      </w:r>
      <w:r w:rsidR="00BF119D" w:rsidRPr="00767E96">
        <w:rPr>
          <w:i/>
        </w:rPr>
        <w:t>all</w:t>
      </w:r>
      <w:r w:rsidR="00BF119D">
        <w:t xml:space="preserve"> the other activities.</w:t>
      </w:r>
      <w:r w:rsidR="00661748">
        <w:t xml:space="preserve"> So despite strong research evidence,</w:t>
      </w:r>
      <w:r w:rsidR="00B069D9">
        <w:t xml:space="preserve"> the potency of </w:t>
      </w:r>
      <w:r w:rsidR="00B069D9" w:rsidRPr="00353EB8">
        <w:rPr>
          <w:i/>
          <w:iCs/>
        </w:rPr>
        <w:t>visualcy</w:t>
      </w:r>
      <w:r w:rsidR="00B069D9">
        <w:rPr>
          <w:vertAlign w:val="superscript"/>
        </w:rPr>
        <w:t>3</w:t>
      </w:r>
      <w:r w:rsidR="00251D3F">
        <w:t xml:space="preserve"> </w:t>
      </w:r>
      <w:r w:rsidR="007F5E57">
        <w:t xml:space="preserve">– a </w:t>
      </w:r>
      <w:r w:rsidR="00CB5508">
        <w:t>neologism</w:t>
      </w:r>
      <w:r w:rsidR="007F5E57">
        <w:t xml:space="preserve"> that Sorrell, Roberts and Henley might have found useful to balance their out-of-kilter</w:t>
      </w:r>
      <w:r w:rsidR="00395E4D">
        <w:t xml:space="preserve"> </w:t>
      </w:r>
      <w:r w:rsidR="00B17B1B">
        <w:t>triad mentioned earlier</w:t>
      </w:r>
      <w:r w:rsidR="007F5E57">
        <w:t xml:space="preserve"> - </w:t>
      </w:r>
      <w:r w:rsidR="00661748">
        <w:t>is still to be</w:t>
      </w:r>
      <w:r w:rsidR="000C6BEA">
        <w:t xml:space="preserve"> fully re</w:t>
      </w:r>
      <w:r w:rsidR="00097F64">
        <w:t>cognised</w:t>
      </w:r>
      <w:r w:rsidR="00595702">
        <w:t xml:space="preserve"> </w:t>
      </w:r>
      <w:r w:rsidR="000C6BEA">
        <w:t>and</w:t>
      </w:r>
      <w:r w:rsidR="00251D3F">
        <w:t xml:space="preserve"> </w:t>
      </w:r>
      <w:r w:rsidR="00097F64">
        <w:t>realised</w:t>
      </w:r>
      <w:r w:rsidR="00251D3F">
        <w:t xml:space="preserve"> across curricul</w:t>
      </w:r>
      <w:r w:rsidR="000C6BEA">
        <w:t>a</w:t>
      </w:r>
      <w:r w:rsidR="00661748">
        <w:t xml:space="preserve"> devised by educationalists</w:t>
      </w:r>
      <w:r w:rsidR="000C6BEA">
        <w:t xml:space="preserve"> labouring under </w:t>
      </w:r>
      <w:r w:rsidR="00484511">
        <w:t xml:space="preserve">a limited </w:t>
      </w:r>
      <w:r w:rsidR="006C4D0E">
        <w:t>awareness</w:t>
      </w:r>
      <w:r w:rsidR="00484511">
        <w:t xml:space="preserve"> of the e</w:t>
      </w:r>
      <w:r w:rsidR="00604D18">
        <w:t>d</w:t>
      </w:r>
      <w:r w:rsidR="00484511">
        <w:t>ucational and cultural centrality of drawing</w:t>
      </w:r>
      <w:r w:rsidR="00097F64">
        <w:t>.</w:t>
      </w:r>
    </w:p>
    <w:p w14:paraId="2FA31A39" w14:textId="0E5EC2DF" w:rsidR="00EE2ECB" w:rsidRDefault="00EE2ECB" w:rsidP="00EE2ECB">
      <w:pPr>
        <w:spacing w:line="480" w:lineRule="auto"/>
        <w:rPr>
          <w:color w:val="000000" w:themeColor="text1"/>
        </w:rPr>
      </w:pPr>
      <w:r w:rsidRPr="00780BC1">
        <w:rPr>
          <w:color w:val="000000" w:themeColor="text1"/>
        </w:rPr>
        <w:t xml:space="preserve"> T</w:t>
      </w:r>
      <w:r w:rsidR="00E241F9" w:rsidRPr="00780BC1">
        <w:rPr>
          <w:color w:val="000000" w:themeColor="text1"/>
        </w:rPr>
        <w:t>he t</w:t>
      </w:r>
      <w:r w:rsidRPr="00780BC1">
        <w:rPr>
          <w:color w:val="000000" w:themeColor="text1"/>
        </w:rPr>
        <w:t>imeline of the</w:t>
      </w:r>
      <w:r w:rsidR="00192FAF" w:rsidRPr="00780BC1">
        <w:rPr>
          <w:color w:val="000000" w:themeColor="text1"/>
        </w:rPr>
        <w:t xml:space="preserve"> historical</w:t>
      </w:r>
      <w:r w:rsidR="00E241F9" w:rsidRPr="00780BC1">
        <w:rPr>
          <w:color w:val="000000" w:themeColor="text1"/>
        </w:rPr>
        <w:t xml:space="preserve"> changes</w:t>
      </w:r>
      <w:r w:rsidRPr="00780BC1">
        <w:rPr>
          <w:color w:val="000000" w:themeColor="text1"/>
        </w:rPr>
        <w:t xml:space="preserve"> </w:t>
      </w:r>
      <w:r w:rsidR="00E241F9" w:rsidRPr="00780BC1">
        <w:rPr>
          <w:color w:val="000000" w:themeColor="text1"/>
        </w:rPr>
        <w:t>in status</w:t>
      </w:r>
      <w:r w:rsidRPr="00780BC1">
        <w:rPr>
          <w:color w:val="000000" w:themeColor="text1"/>
        </w:rPr>
        <w:t xml:space="preserve"> </w:t>
      </w:r>
      <w:r w:rsidR="00E241F9" w:rsidRPr="00780BC1">
        <w:rPr>
          <w:color w:val="000000" w:themeColor="text1"/>
        </w:rPr>
        <w:t>of</w:t>
      </w:r>
      <w:r w:rsidRPr="00780BC1">
        <w:rPr>
          <w:color w:val="000000" w:themeColor="text1"/>
        </w:rPr>
        <w:t xml:space="preserve"> UK art</w:t>
      </w:r>
      <w:r w:rsidR="00C23695">
        <w:rPr>
          <w:color w:val="000000" w:themeColor="text1"/>
        </w:rPr>
        <w:t xml:space="preserve"> </w:t>
      </w:r>
      <w:r w:rsidRPr="00780BC1">
        <w:rPr>
          <w:color w:val="000000" w:themeColor="text1"/>
        </w:rPr>
        <w:t xml:space="preserve">schools </w:t>
      </w:r>
      <w:r w:rsidR="00E241F9" w:rsidRPr="00780BC1">
        <w:rPr>
          <w:color w:val="000000" w:themeColor="text1"/>
        </w:rPr>
        <w:t>within</w:t>
      </w:r>
      <w:r w:rsidRPr="00780BC1">
        <w:rPr>
          <w:color w:val="000000" w:themeColor="text1"/>
        </w:rPr>
        <w:t xml:space="preserve"> the higher education system from </w:t>
      </w:r>
      <w:r w:rsidR="00E241F9" w:rsidRPr="00780BC1">
        <w:rPr>
          <w:color w:val="000000" w:themeColor="text1"/>
        </w:rPr>
        <w:t xml:space="preserve">Henry </w:t>
      </w:r>
      <w:r w:rsidRPr="00780BC1">
        <w:rPr>
          <w:color w:val="000000" w:themeColor="text1"/>
        </w:rPr>
        <w:t>Cole’s time</w:t>
      </w:r>
      <w:r w:rsidR="00E241F9" w:rsidRPr="00780BC1">
        <w:rPr>
          <w:color w:val="000000" w:themeColor="text1"/>
        </w:rPr>
        <w:t>,</w:t>
      </w:r>
      <w:r w:rsidRPr="00780BC1">
        <w:rPr>
          <w:color w:val="000000" w:themeColor="text1"/>
        </w:rPr>
        <w:t xml:space="preserve"> </w:t>
      </w:r>
      <w:r w:rsidRPr="00780BC1">
        <w:rPr>
          <w:i/>
          <w:color w:val="000000" w:themeColor="text1"/>
        </w:rPr>
        <w:t xml:space="preserve">via </w:t>
      </w:r>
      <w:r w:rsidR="0027397E">
        <w:rPr>
          <w:iCs/>
          <w:color w:val="000000" w:themeColor="text1"/>
        </w:rPr>
        <w:t xml:space="preserve">the two </w:t>
      </w:r>
      <w:r w:rsidRPr="00780BC1">
        <w:rPr>
          <w:color w:val="000000" w:themeColor="text1"/>
        </w:rPr>
        <w:t>Coldstream</w:t>
      </w:r>
      <w:r w:rsidR="0027397E">
        <w:rPr>
          <w:color w:val="000000" w:themeColor="text1"/>
        </w:rPr>
        <w:t xml:space="preserve"> Reports</w:t>
      </w:r>
      <w:r w:rsidRPr="00780BC1">
        <w:rPr>
          <w:color w:val="000000" w:themeColor="text1"/>
        </w:rPr>
        <w:t>,</w:t>
      </w:r>
      <w:r w:rsidR="0027397E">
        <w:rPr>
          <w:color w:val="000000" w:themeColor="text1"/>
        </w:rPr>
        <w:t xml:space="preserve"> 1960 and 1970,</w:t>
      </w:r>
      <w:r w:rsidRPr="00780BC1">
        <w:rPr>
          <w:color w:val="000000" w:themeColor="text1"/>
        </w:rPr>
        <w:t xml:space="preserve"> the </w:t>
      </w:r>
      <w:r w:rsidR="00122EE5">
        <w:rPr>
          <w:color w:val="000000" w:themeColor="text1"/>
        </w:rPr>
        <w:t xml:space="preserve">emergence of </w:t>
      </w:r>
      <w:r w:rsidRPr="00780BC1">
        <w:rPr>
          <w:color w:val="000000" w:themeColor="text1"/>
        </w:rPr>
        <w:t xml:space="preserve">polytechnics and the post-1992 universities, </w:t>
      </w:r>
      <w:r w:rsidR="00E241F9" w:rsidRPr="00780BC1">
        <w:rPr>
          <w:color w:val="000000" w:themeColor="text1"/>
        </w:rPr>
        <w:t>is well documented</w:t>
      </w:r>
      <w:r w:rsidR="00D44594" w:rsidRPr="00780BC1">
        <w:rPr>
          <w:color w:val="000000" w:themeColor="text1"/>
        </w:rPr>
        <w:t>: Stuart</w:t>
      </w:r>
      <w:r w:rsidR="00E241F9" w:rsidRPr="00780BC1">
        <w:rPr>
          <w:color w:val="000000" w:themeColor="text1"/>
        </w:rPr>
        <w:t xml:space="preserve"> </w:t>
      </w:r>
      <w:r w:rsidR="00811A07" w:rsidRPr="00780BC1">
        <w:rPr>
          <w:color w:val="000000" w:themeColor="text1"/>
        </w:rPr>
        <w:t>Macdonald</w:t>
      </w:r>
      <w:r w:rsidR="00D44594" w:rsidRPr="00780BC1">
        <w:rPr>
          <w:color w:val="000000" w:themeColor="text1"/>
        </w:rPr>
        <w:t>’s (1970) seminal study</w:t>
      </w:r>
      <w:r w:rsidR="00AC489F" w:rsidRPr="00780BC1">
        <w:rPr>
          <w:color w:val="000000" w:themeColor="text1"/>
        </w:rPr>
        <w:t xml:space="preserve"> was</w:t>
      </w:r>
      <w:r w:rsidR="00D44594" w:rsidRPr="00780BC1">
        <w:rPr>
          <w:color w:val="000000" w:themeColor="text1"/>
        </w:rPr>
        <w:t xml:space="preserve"> followed by</w:t>
      </w:r>
      <w:r w:rsidR="00811A07" w:rsidRPr="00780BC1">
        <w:rPr>
          <w:color w:val="000000" w:themeColor="text1"/>
        </w:rPr>
        <w:t xml:space="preserve"> </w:t>
      </w:r>
      <w:r w:rsidR="00D44594" w:rsidRPr="00780BC1">
        <w:rPr>
          <w:color w:val="000000" w:themeColor="text1"/>
        </w:rPr>
        <w:t xml:space="preserve">his </w:t>
      </w:r>
      <w:proofErr w:type="spellStart"/>
      <w:r w:rsidR="00D44594" w:rsidRPr="00780BC1">
        <w:rPr>
          <w:i/>
          <w:color w:val="000000" w:themeColor="text1"/>
        </w:rPr>
        <w:t>Articidal</w:t>
      </w:r>
      <w:proofErr w:type="spellEnd"/>
      <w:r w:rsidR="00D44594" w:rsidRPr="00780BC1">
        <w:rPr>
          <w:i/>
          <w:color w:val="000000" w:themeColor="text1"/>
        </w:rPr>
        <w:t xml:space="preserve"> Tendencies</w:t>
      </w:r>
      <w:r w:rsidR="00D44594" w:rsidRPr="00780BC1">
        <w:rPr>
          <w:color w:val="000000" w:themeColor="text1"/>
        </w:rPr>
        <w:t xml:space="preserve"> </w:t>
      </w:r>
      <w:r w:rsidR="006363DA" w:rsidRPr="00780BC1">
        <w:rPr>
          <w:color w:val="000000" w:themeColor="text1"/>
        </w:rPr>
        <w:t xml:space="preserve">(1973) </w:t>
      </w:r>
      <w:r w:rsidR="00EE2C14" w:rsidRPr="00780BC1">
        <w:rPr>
          <w:color w:val="000000" w:themeColor="text1"/>
        </w:rPr>
        <w:t>warning of</w:t>
      </w:r>
      <w:r w:rsidR="00C73B6A" w:rsidRPr="00780BC1">
        <w:rPr>
          <w:color w:val="000000" w:themeColor="text1"/>
        </w:rPr>
        <w:t xml:space="preserve"> the </w:t>
      </w:r>
      <w:r w:rsidR="00EE2C14" w:rsidRPr="00780BC1">
        <w:rPr>
          <w:color w:val="000000" w:themeColor="text1"/>
        </w:rPr>
        <w:t>domination</w:t>
      </w:r>
      <w:r w:rsidR="00C73B6A" w:rsidRPr="00780BC1">
        <w:rPr>
          <w:color w:val="000000" w:themeColor="text1"/>
        </w:rPr>
        <w:t xml:space="preserve"> of</w:t>
      </w:r>
      <w:r w:rsidR="00D44594" w:rsidRPr="00780BC1">
        <w:rPr>
          <w:color w:val="000000" w:themeColor="text1"/>
        </w:rPr>
        <w:t xml:space="preserve"> conceptual art</w:t>
      </w:r>
      <w:r w:rsidR="00C73B6A" w:rsidRPr="00780BC1">
        <w:rPr>
          <w:color w:val="000000" w:themeColor="text1"/>
        </w:rPr>
        <w:t xml:space="preserve"> </w:t>
      </w:r>
      <w:r w:rsidR="00EE2C14" w:rsidRPr="00780BC1">
        <w:rPr>
          <w:color w:val="000000" w:themeColor="text1"/>
        </w:rPr>
        <w:t>in</w:t>
      </w:r>
      <w:r w:rsidR="00C73B6A" w:rsidRPr="00780BC1">
        <w:rPr>
          <w:color w:val="000000" w:themeColor="text1"/>
        </w:rPr>
        <w:t xml:space="preserve"> the curriculum</w:t>
      </w:r>
      <w:r w:rsidR="00584FDF">
        <w:rPr>
          <w:color w:val="000000" w:themeColor="text1"/>
        </w:rPr>
        <w:t xml:space="preserve"> </w:t>
      </w:r>
      <w:r w:rsidR="00584FDF" w:rsidRPr="00E17609">
        <w:rPr>
          <w:color w:val="000000" w:themeColor="text1"/>
        </w:rPr>
        <w:t>at that time</w:t>
      </w:r>
      <w:r w:rsidR="00E241F9" w:rsidRPr="00780BC1">
        <w:rPr>
          <w:color w:val="000000" w:themeColor="text1"/>
        </w:rPr>
        <w:t>;</w:t>
      </w:r>
      <w:r w:rsidR="00811A07" w:rsidRPr="00780BC1">
        <w:rPr>
          <w:color w:val="000000" w:themeColor="text1"/>
        </w:rPr>
        <w:t xml:space="preserve"> </w:t>
      </w:r>
      <w:r w:rsidR="00D44594" w:rsidRPr="00780BC1">
        <w:rPr>
          <w:color w:val="000000" w:themeColor="text1"/>
        </w:rPr>
        <w:t xml:space="preserve">Katrina </w:t>
      </w:r>
      <w:proofErr w:type="spellStart"/>
      <w:r w:rsidR="00811A07" w:rsidRPr="00780BC1">
        <w:rPr>
          <w:color w:val="000000" w:themeColor="text1"/>
        </w:rPr>
        <w:t>Hjelde</w:t>
      </w:r>
      <w:proofErr w:type="spellEnd"/>
      <w:r w:rsidR="00811A07" w:rsidRPr="00780BC1">
        <w:rPr>
          <w:color w:val="000000" w:themeColor="text1"/>
        </w:rPr>
        <w:t xml:space="preserve"> </w:t>
      </w:r>
      <w:r w:rsidR="00D44594" w:rsidRPr="00780BC1">
        <w:rPr>
          <w:color w:val="000000" w:themeColor="text1"/>
        </w:rPr>
        <w:t>(</w:t>
      </w:r>
      <w:r w:rsidR="00811A07" w:rsidRPr="00780BC1">
        <w:rPr>
          <w:color w:val="000000" w:themeColor="text1"/>
        </w:rPr>
        <w:t>2015</w:t>
      </w:r>
      <w:r w:rsidR="00D44594" w:rsidRPr="00780BC1">
        <w:rPr>
          <w:color w:val="000000" w:themeColor="text1"/>
        </w:rPr>
        <w:t>) and</w:t>
      </w:r>
      <w:r w:rsidRPr="00780BC1">
        <w:rPr>
          <w:color w:val="000000" w:themeColor="text1"/>
        </w:rPr>
        <w:t xml:space="preserve"> </w:t>
      </w:r>
      <w:r w:rsidR="003218C1">
        <w:rPr>
          <w:color w:val="000000" w:themeColor="text1"/>
        </w:rPr>
        <w:t>Nicholas Houghton</w:t>
      </w:r>
      <w:r w:rsidRPr="00780BC1">
        <w:rPr>
          <w:color w:val="000000" w:themeColor="text1"/>
        </w:rPr>
        <w:t xml:space="preserve"> </w:t>
      </w:r>
      <w:r w:rsidR="00D44594" w:rsidRPr="00780BC1">
        <w:rPr>
          <w:color w:val="000000" w:themeColor="text1"/>
        </w:rPr>
        <w:t>(</w:t>
      </w:r>
      <w:r w:rsidRPr="00780BC1">
        <w:rPr>
          <w:color w:val="000000" w:themeColor="text1"/>
        </w:rPr>
        <w:t>201</w:t>
      </w:r>
      <w:r w:rsidR="003218C1">
        <w:rPr>
          <w:color w:val="000000" w:themeColor="text1"/>
        </w:rPr>
        <w:t>9</w:t>
      </w:r>
      <w:r w:rsidRPr="00780BC1">
        <w:rPr>
          <w:color w:val="000000" w:themeColor="text1"/>
        </w:rPr>
        <w:t>)</w:t>
      </w:r>
      <w:r w:rsidR="00D44594" w:rsidRPr="00780BC1">
        <w:rPr>
          <w:color w:val="000000" w:themeColor="text1"/>
        </w:rPr>
        <w:t xml:space="preserve"> have both made useful contributions to </w:t>
      </w:r>
      <w:r w:rsidR="004045BB" w:rsidRPr="00780BC1">
        <w:rPr>
          <w:color w:val="000000" w:themeColor="text1"/>
        </w:rPr>
        <w:t>the</w:t>
      </w:r>
      <w:r w:rsidR="00D44594" w:rsidRPr="00780BC1">
        <w:rPr>
          <w:color w:val="000000" w:themeColor="text1"/>
        </w:rPr>
        <w:t xml:space="preserve"> </w:t>
      </w:r>
      <w:r w:rsidR="002F0E36" w:rsidRPr="00780BC1">
        <w:rPr>
          <w:color w:val="000000" w:themeColor="text1"/>
        </w:rPr>
        <w:t>tracking</w:t>
      </w:r>
      <w:r w:rsidR="006363DA" w:rsidRPr="00780BC1">
        <w:rPr>
          <w:color w:val="000000" w:themeColor="text1"/>
        </w:rPr>
        <w:t xml:space="preserve"> of </w:t>
      </w:r>
      <w:r w:rsidR="009F5A26" w:rsidRPr="00780BC1">
        <w:rPr>
          <w:color w:val="000000" w:themeColor="text1"/>
        </w:rPr>
        <w:t xml:space="preserve">the later </w:t>
      </w:r>
      <w:r w:rsidR="006363DA" w:rsidRPr="00780BC1">
        <w:rPr>
          <w:color w:val="000000" w:themeColor="text1"/>
        </w:rPr>
        <w:t>developments.</w:t>
      </w:r>
      <w:r w:rsidR="00767E96" w:rsidRPr="00780BC1">
        <w:rPr>
          <w:color w:val="000000" w:themeColor="text1"/>
        </w:rPr>
        <w:t xml:space="preserve"> Houghton</w:t>
      </w:r>
      <w:r w:rsidR="00E241F9" w:rsidRPr="00780BC1">
        <w:rPr>
          <w:color w:val="000000" w:themeColor="text1"/>
        </w:rPr>
        <w:t xml:space="preserve"> (201</w:t>
      </w:r>
      <w:r w:rsidR="00811A07" w:rsidRPr="00780BC1">
        <w:rPr>
          <w:color w:val="000000" w:themeColor="text1"/>
        </w:rPr>
        <w:t>6</w:t>
      </w:r>
      <w:r w:rsidR="00192FAF" w:rsidRPr="00780BC1">
        <w:rPr>
          <w:color w:val="000000" w:themeColor="text1"/>
        </w:rPr>
        <w:t>:1</w:t>
      </w:r>
      <w:r w:rsidR="00811A07" w:rsidRPr="00780BC1">
        <w:rPr>
          <w:color w:val="000000" w:themeColor="text1"/>
        </w:rPr>
        <w:t>)</w:t>
      </w:r>
      <w:r w:rsidR="00F106A5">
        <w:rPr>
          <w:color w:val="000000" w:themeColor="text1"/>
        </w:rPr>
        <w:t xml:space="preserve"> proposed</w:t>
      </w:r>
      <w:r w:rsidR="00192FAF" w:rsidRPr="00780BC1">
        <w:rPr>
          <w:color w:val="000000" w:themeColor="text1"/>
        </w:rPr>
        <w:t xml:space="preserve"> a </w:t>
      </w:r>
      <w:r w:rsidR="00F106A5">
        <w:rPr>
          <w:color w:val="000000" w:themeColor="text1"/>
        </w:rPr>
        <w:t>taxonomy of curricula</w:t>
      </w:r>
      <w:r w:rsidR="00192FAF" w:rsidRPr="00780BC1">
        <w:rPr>
          <w:color w:val="000000" w:themeColor="text1"/>
        </w:rPr>
        <w:t xml:space="preserve">, seeking ‘…to understand the present-day post-secondary art curriculum through analysing its history in </w:t>
      </w:r>
      <w:r w:rsidR="00192FAF" w:rsidRPr="00780BC1">
        <w:rPr>
          <w:color w:val="000000" w:themeColor="text1"/>
        </w:rPr>
        <w:lastRenderedPageBreak/>
        <w:t xml:space="preserve">terms of changes in conceptions of art’. </w:t>
      </w:r>
      <w:r w:rsidR="00E91888" w:rsidRPr="00780BC1">
        <w:rPr>
          <w:color w:val="000000" w:themeColor="text1"/>
        </w:rPr>
        <w:t xml:space="preserve">Six variations </w:t>
      </w:r>
      <w:r w:rsidR="00F106A5">
        <w:rPr>
          <w:color w:val="000000" w:themeColor="text1"/>
        </w:rPr>
        <w:t>were</w:t>
      </w:r>
      <w:r w:rsidR="00E91888" w:rsidRPr="00780BC1">
        <w:rPr>
          <w:color w:val="000000" w:themeColor="text1"/>
        </w:rPr>
        <w:t xml:space="preserve"> </w:t>
      </w:r>
      <w:r w:rsidR="00A25C42" w:rsidRPr="00780BC1">
        <w:rPr>
          <w:color w:val="000000" w:themeColor="text1"/>
        </w:rPr>
        <w:t>identified</w:t>
      </w:r>
      <w:r w:rsidR="00964CB7">
        <w:rPr>
          <w:color w:val="000000" w:themeColor="text1"/>
        </w:rPr>
        <w:t xml:space="preserve">, Fig </w:t>
      </w:r>
      <w:r w:rsidR="00230021">
        <w:rPr>
          <w:color w:val="000000" w:themeColor="text1"/>
        </w:rPr>
        <w:t>1</w:t>
      </w:r>
      <w:r w:rsidR="00964CB7">
        <w:rPr>
          <w:color w:val="000000" w:themeColor="text1"/>
        </w:rPr>
        <w:t xml:space="preserve"> relates them to the philosophical bases</w:t>
      </w:r>
      <w:r w:rsidR="00A55952">
        <w:rPr>
          <w:color w:val="000000" w:themeColor="text1"/>
        </w:rPr>
        <w:t xml:space="preserve"> relevant to a drawing pedagogy</w:t>
      </w:r>
      <w:r w:rsidR="00964CB7">
        <w:rPr>
          <w:color w:val="000000" w:themeColor="text1"/>
        </w:rPr>
        <w:t>:</w:t>
      </w:r>
    </w:p>
    <w:p w14:paraId="7E6EE0C6" w14:textId="37C88DCE" w:rsidR="00D964DA" w:rsidRDefault="00D964DA" w:rsidP="00EE2ECB">
      <w:pPr>
        <w:spacing w:line="480" w:lineRule="auto"/>
        <w:rPr>
          <w:color w:val="000000" w:themeColor="text1"/>
        </w:rPr>
      </w:pPr>
    </w:p>
    <w:p w14:paraId="6A77A6CD" w14:textId="42DB8985" w:rsidR="00964CB7" w:rsidRPr="00780BC1" w:rsidRDefault="00964CB7" w:rsidP="00EE2ECB">
      <w:pPr>
        <w:spacing w:line="480" w:lineRule="auto"/>
        <w:rPr>
          <w:color w:val="000000" w:themeColor="text1"/>
        </w:rPr>
      </w:pPr>
    </w:p>
    <w:p w14:paraId="5B3DEA0D" w14:textId="2F54E85E" w:rsidR="00D964DA" w:rsidRDefault="00637723" w:rsidP="005D700E">
      <w:pPr>
        <w:spacing w:line="480" w:lineRule="auto"/>
        <w:rPr>
          <w:b/>
          <w:bCs/>
          <w:iCs/>
          <w:color w:val="000000" w:themeColor="text1"/>
        </w:rPr>
      </w:pPr>
      <w:r>
        <w:rPr>
          <w:b/>
          <w:bCs/>
          <w:iCs/>
          <w:noProof/>
          <w:color w:val="000000" w:themeColor="text1"/>
        </w:rPr>
        <w:drawing>
          <wp:inline distT="0" distB="0" distL="0" distR="0" wp14:anchorId="67631A17" wp14:editId="3C70FAA3">
            <wp:extent cx="5727700" cy="6732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5727700" cy="6732270"/>
                    </a:xfrm>
                    <a:prstGeom prst="rect">
                      <a:avLst/>
                    </a:prstGeom>
                  </pic:spPr>
                </pic:pic>
              </a:graphicData>
            </a:graphic>
          </wp:inline>
        </w:drawing>
      </w:r>
    </w:p>
    <w:p w14:paraId="7FD4ECD4" w14:textId="76CCA2EB" w:rsidR="00BF1BB2" w:rsidRDefault="00964CB7" w:rsidP="005D700E">
      <w:pPr>
        <w:spacing w:line="480" w:lineRule="auto"/>
      </w:pPr>
      <w:r>
        <w:rPr>
          <w:b/>
          <w:bCs/>
          <w:iCs/>
          <w:color w:val="000000" w:themeColor="text1"/>
        </w:rPr>
        <w:t xml:space="preserve">Fig </w:t>
      </w:r>
      <w:r w:rsidR="00230021">
        <w:rPr>
          <w:b/>
          <w:bCs/>
          <w:iCs/>
          <w:color w:val="000000" w:themeColor="text1"/>
        </w:rPr>
        <w:t>1</w:t>
      </w:r>
      <w:r w:rsidR="00A55952">
        <w:rPr>
          <w:b/>
          <w:bCs/>
          <w:iCs/>
          <w:color w:val="000000" w:themeColor="text1"/>
        </w:rPr>
        <w:t xml:space="preserve"> Philosophical bases related to the pedagogy of drawing</w:t>
      </w:r>
    </w:p>
    <w:p w14:paraId="4C06EA87" w14:textId="494EAF43" w:rsidR="00751AE7" w:rsidRDefault="001328A5" w:rsidP="00751AE7">
      <w:pPr>
        <w:spacing w:line="480" w:lineRule="auto"/>
      </w:pPr>
      <w:r w:rsidRPr="0033256C">
        <w:rPr>
          <w:color w:val="000000" w:themeColor="text1"/>
        </w:rPr>
        <w:lastRenderedPageBreak/>
        <w:t xml:space="preserve">It is </w:t>
      </w:r>
      <w:r w:rsidR="00097F64" w:rsidRPr="0033256C">
        <w:rPr>
          <w:color w:val="000000" w:themeColor="text1"/>
        </w:rPr>
        <w:t>argue</w:t>
      </w:r>
      <w:r w:rsidRPr="0033256C">
        <w:rPr>
          <w:color w:val="000000" w:themeColor="text1"/>
        </w:rPr>
        <w:t>d</w:t>
      </w:r>
      <w:r w:rsidR="00097F64" w:rsidRPr="0033256C">
        <w:rPr>
          <w:color w:val="000000" w:themeColor="text1"/>
        </w:rPr>
        <w:t xml:space="preserve"> </w:t>
      </w:r>
      <w:r w:rsidR="00097F64" w:rsidRPr="007B5638">
        <w:rPr>
          <w:color w:val="000000" w:themeColor="text1"/>
        </w:rPr>
        <w:t>that the</w:t>
      </w:r>
      <w:r w:rsidR="00751AE7" w:rsidRPr="007B5638">
        <w:rPr>
          <w:color w:val="000000" w:themeColor="text1"/>
        </w:rPr>
        <w:t xml:space="preserve"> </w:t>
      </w:r>
      <w:r w:rsidR="003D31E5">
        <w:t>demise</w:t>
      </w:r>
      <w:r w:rsidR="00751AE7">
        <w:t xml:space="preserve"> of drawing</w:t>
      </w:r>
      <w:r w:rsidR="00751AE7" w:rsidRPr="00A031B5">
        <w:rPr>
          <w:color w:val="000000" w:themeColor="text1"/>
        </w:rPr>
        <w:t xml:space="preserve"> </w:t>
      </w:r>
      <w:r w:rsidR="00A031B5" w:rsidRPr="00A031B5">
        <w:rPr>
          <w:color w:val="000000" w:themeColor="text1"/>
        </w:rPr>
        <w:t>in</w:t>
      </w:r>
      <w:r w:rsidR="00751AE7" w:rsidRPr="00A031B5">
        <w:rPr>
          <w:color w:val="000000" w:themeColor="text1"/>
        </w:rPr>
        <w:t xml:space="preserve"> </w:t>
      </w:r>
      <w:r w:rsidR="00751AE7">
        <w:t>our</w:t>
      </w:r>
      <w:r w:rsidR="00C73B6A">
        <w:t xml:space="preserve"> c</w:t>
      </w:r>
      <w:r w:rsidR="004050CF">
        <w:t>ontemporary</w:t>
      </w:r>
      <w:r w:rsidR="00751AE7">
        <w:t xml:space="preserve"> education system is </w:t>
      </w:r>
      <w:r w:rsidR="00F03CE1">
        <w:t>directly caused</w:t>
      </w:r>
      <w:r w:rsidR="00751AE7">
        <w:t xml:space="preserve"> by the neoliberal policies which are affecting the visual arts curriculum from secondary school level through to the HE system. That </w:t>
      </w:r>
      <w:r w:rsidR="001868ED">
        <w:t xml:space="preserve">resulting </w:t>
      </w:r>
      <w:r w:rsidR="00751AE7">
        <w:t>curriculum</w:t>
      </w:r>
      <w:r w:rsidR="001868ED">
        <w:t xml:space="preserve"> version</w:t>
      </w:r>
      <w:r w:rsidR="00751AE7">
        <w:t xml:space="preserve"> is identified as ‘Professional’ in Houghton’s scheme. </w:t>
      </w:r>
    </w:p>
    <w:p w14:paraId="4182EBF7" w14:textId="00B0218A" w:rsidR="00751AE7" w:rsidRDefault="00751AE7" w:rsidP="00C73B6A">
      <w:pPr>
        <w:ind w:left="720"/>
      </w:pPr>
      <w:r>
        <w:t>The professional curriculum is tied tightly to a belief that education</w:t>
      </w:r>
      <w:r w:rsidR="00C73B6A">
        <w:t xml:space="preserve"> should be</w:t>
      </w:r>
    </w:p>
    <w:p w14:paraId="00035612" w14:textId="15744846" w:rsidR="00C73B6A" w:rsidRDefault="00AC489F" w:rsidP="00C73B6A">
      <w:pPr>
        <w:ind w:left="720"/>
      </w:pPr>
      <w:r>
        <w:t>i</w:t>
      </w:r>
      <w:r w:rsidR="00C73B6A">
        <w:t>nstrumental and be aligned to enabling students on leaving to earn a living and contribute to a nation’s economy (a jargon word is employability</w:t>
      </w:r>
      <w:r w:rsidR="001A5C40">
        <w:t>.</w:t>
      </w:r>
      <w:r w:rsidR="00C73B6A">
        <w:t>)</w:t>
      </w:r>
    </w:p>
    <w:p w14:paraId="41766EE7" w14:textId="697559F8" w:rsidR="00C73B6A" w:rsidRDefault="00C73B6A" w:rsidP="00C73B6A">
      <w:pPr>
        <w:ind w:left="720"/>
      </w:pPr>
      <w:r>
        <w:t>(Houghton 2016:9)</w:t>
      </w:r>
    </w:p>
    <w:p w14:paraId="5EC24D74" w14:textId="77777777" w:rsidR="00C73B6A" w:rsidRDefault="00C73B6A" w:rsidP="00C73B6A">
      <w:pPr>
        <w:ind w:left="720"/>
      </w:pPr>
    </w:p>
    <w:p w14:paraId="73B806EC" w14:textId="096FB173" w:rsidR="00751AE7" w:rsidRDefault="00751AE7" w:rsidP="00751AE7">
      <w:pPr>
        <w:spacing w:line="480" w:lineRule="auto"/>
      </w:pPr>
      <w:r>
        <w:t>The drivers of those policies misunderstand – or are ignorant of – the</w:t>
      </w:r>
      <w:r w:rsidR="002F0E36">
        <w:t xml:space="preserve"> advantages of alternative</w:t>
      </w:r>
      <w:r>
        <w:t xml:space="preserve"> approaches available for the teaching of drawing, and instead assume</w:t>
      </w:r>
      <w:r w:rsidR="002F0E36">
        <w:t xml:space="preserve"> the</w:t>
      </w:r>
      <w:r w:rsidR="00F03CE1">
        <w:t xml:space="preserve"> narrow</w:t>
      </w:r>
      <w:r>
        <w:t xml:space="preserve"> notion of observational drawing in the Academic tradition</w:t>
      </w:r>
      <w:r w:rsidR="00097F64">
        <w:t>,</w:t>
      </w:r>
      <w:r>
        <w:t xml:space="preserve"> perceived to be a </w:t>
      </w:r>
      <w:r w:rsidR="00F03CE1">
        <w:t xml:space="preserve">time-consuming </w:t>
      </w:r>
      <w:r>
        <w:t>problem in a tight curriculum</w:t>
      </w:r>
      <w:r w:rsidR="00F106A5">
        <w:t>, is the only choice.</w:t>
      </w:r>
      <w:r>
        <w:t xml:space="preserve"> </w:t>
      </w:r>
      <w:r w:rsidR="002F0E36">
        <w:t xml:space="preserve">However, </w:t>
      </w:r>
      <w:r>
        <w:t xml:space="preserve">Figure </w:t>
      </w:r>
      <w:r w:rsidR="002036F0">
        <w:t>1</w:t>
      </w:r>
      <w:r>
        <w:t xml:space="preserve"> </w:t>
      </w:r>
      <w:r w:rsidR="00AC489F">
        <w:t>offers</w:t>
      </w:r>
      <w:r>
        <w:t xml:space="preserve"> a</w:t>
      </w:r>
      <w:r w:rsidR="00AC489F">
        <w:t xml:space="preserve"> </w:t>
      </w:r>
      <w:r w:rsidR="002F0E36">
        <w:t xml:space="preserve">comprehensive </w:t>
      </w:r>
      <w:r>
        <w:t>range of approaches</w:t>
      </w:r>
      <w:r w:rsidR="002F0E36">
        <w:t>:</w:t>
      </w:r>
      <w:r w:rsidR="002F0E36" w:rsidRPr="0033256C">
        <w:rPr>
          <w:color w:val="000000" w:themeColor="text1"/>
        </w:rPr>
        <w:t xml:space="preserve"> </w:t>
      </w:r>
      <w:r w:rsidR="00EE6ED7">
        <w:rPr>
          <w:color w:val="000000" w:themeColor="text1"/>
        </w:rPr>
        <w:t>we</w:t>
      </w:r>
      <w:r w:rsidR="002F0E36" w:rsidRPr="0033256C">
        <w:rPr>
          <w:color w:val="000000" w:themeColor="text1"/>
        </w:rPr>
        <w:t xml:space="preserve"> </w:t>
      </w:r>
      <w:r w:rsidR="002F0E36">
        <w:t xml:space="preserve">would advocate a closer consideration of </w:t>
      </w:r>
      <w:r>
        <w:t>the Constructionist base affording opportunities of benefit to the whole curriculum</w:t>
      </w:r>
      <w:r w:rsidR="00637723">
        <w:t>.</w:t>
      </w:r>
    </w:p>
    <w:p w14:paraId="0D73490A" w14:textId="665FA31D" w:rsidR="002F0E36" w:rsidRDefault="002F0E36" w:rsidP="002F0E36">
      <w:pPr>
        <w:spacing w:line="480" w:lineRule="auto"/>
      </w:pPr>
      <w:r>
        <w:t>The (mis)perception of drawing</w:t>
      </w:r>
      <w:r w:rsidR="004564C6">
        <w:t xml:space="preserve"> simply</w:t>
      </w:r>
      <w:r>
        <w:t xml:space="preserve"> as a singularly time-consuming activity with an outdated objective of producing proportionally-accurate hand-made observational drawings with no immediate application in a wider cultural environment (</w:t>
      </w:r>
      <w:r w:rsidR="00F03CE1">
        <w:t>construed as</w:t>
      </w:r>
      <w:r>
        <w:t xml:space="preserve"> </w:t>
      </w:r>
      <w:r w:rsidR="009F5A26">
        <w:t>a</w:t>
      </w:r>
      <w:r w:rsidR="00F03CE1">
        <w:t xml:space="preserve">n </w:t>
      </w:r>
      <w:r>
        <w:t xml:space="preserve">entrepreneurial market setting) is the tacit assumption. Rather, </w:t>
      </w:r>
      <w:r w:rsidR="00EE6ED7">
        <w:t>we</w:t>
      </w:r>
      <w:r w:rsidR="001328A5">
        <w:t xml:space="preserve"> </w:t>
      </w:r>
      <w:r>
        <w:t>would argue for, and encourage the articulation of drawing activities as the most economic means of nurturing an intelligence of seeing applicable to all material practices and visual design activities.</w:t>
      </w:r>
    </w:p>
    <w:p w14:paraId="06B9D59A" w14:textId="1822B050" w:rsidR="00097F64" w:rsidRPr="003E7C77" w:rsidRDefault="00097F64" w:rsidP="002F0E36">
      <w:pPr>
        <w:spacing w:line="480" w:lineRule="auto"/>
        <w:rPr>
          <w:b/>
          <w:i/>
        </w:rPr>
      </w:pPr>
      <w:r w:rsidRPr="003E7C77">
        <w:rPr>
          <w:b/>
          <w:i/>
        </w:rPr>
        <w:t>Neoliberalism and the ar</w:t>
      </w:r>
      <w:r w:rsidR="00F03CE1">
        <w:rPr>
          <w:b/>
          <w:i/>
        </w:rPr>
        <w:t>t</w:t>
      </w:r>
      <w:r w:rsidR="00750E6A">
        <w:rPr>
          <w:b/>
          <w:i/>
        </w:rPr>
        <w:t xml:space="preserve"> </w:t>
      </w:r>
      <w:r w:rsidRPr="003E7C77">
        <w:rPr>
          <w:b/>
          <w:i/>
        </w:rPr>
        <w:t>schools</w:t>
      </w:r>
      <w:r w:rsidR="00FA70DE">
        <w:rPr>
          <w:b/>
          <w:i/>
        </w:rPr>
        <w:t xml:space="preserve"> </w:t>
      </w:r>
    </w:p>
    <w:p w14:paraId="191681A5" w14:textId="6B91F289" w:rsidR="006C4D0E" w:rsidRDefault="008B375B" w:rsidP="008B375B">
      <w:pPr>
        <w:spacing w:line="480" w:lineRule="auto"/>
      </w:pPr>
      <w:r>
        <w:t xml:space="preserve">Even though the </w:t>
      </w:r>
      <w:r w:rsidR="00C94BEF">
        <w:t xml:space="preserve">UK </w:t>
      </w:r>
      <w:r>
        <w:t xml:space="preserve">Government-sponsored </w:t>
      </w:r>
      <w:r w:rsidR="00B94371">
        <w:t xml:space="preserve">review </w:t>
      </w:r>
      <w:r>
        <w:t xml:space="preserve">led by Philip </w:t>
      </w:r>
      <w:proofErr w:type="spellStart"/>
      <w:r>
        <w:t>Augar</w:t>
      </w:r>
      <w:proofErr w:type="spellEnd"/>
      <w:r>
        <w:t xml:space="preserve"> (May 2019) </w:t>
      </w:r>
      <w:r w:rsidRPr="00C4004C">
        <w:rPr>
          <w:color w:val="000000" w:themeColor="text1"/>
        </w:rPr>
        <w:t>expresse</w:t>
      </w:r>
      <w:r w:rsidR="006C4D0E" w:rsidRPr="00C4004C">
        <w:rPr>
          <w:color w:val="000000" w:themeColor="text1"/>
        </w:rPr>
        <w:t>d</w:t>
      </w:r>
      <w:r>
        <w:t xml:space="preserve"> some doubt about the</w:t>
      </w:r>
      <w:r w:rsidR="00811A9D">
        <w:t xml:space="preserve"> earlier</w:t>
      </w:r>
      <w:r>
        <w:t xml:space="preserve"> Browne</w:t>
      </w:r>
      <w:r w:rsidR="00C94BEF">
        <w:t xml:space="preserve"> Report’s (2010:2)</w:t>
      </w:r>
      <w:r>
        <w:t xml:space="preserve"> assumption</w:t>
      </w:r>
      <w:r w:rsidR="00C94BEF">
        <w:t xml:space="preserve"> that</w:t>
      </w:r>
    </w:p>
    <w:p w14:paraId="26C8E58C" w14:textId="202246B4" w:rsidR="008B375B" w:rsidRDefault="006C4D0E" w:rsidP="008B375B">
      <w:pPr>
        <w:spacing w:line="480" w:lineRule="auto"/>
      </w:pPr>
      <w:r w:rsidRPr="00C4004C">
        <w:rPr>
          <w:color w:val="000000" w:themeColor="text1"/>
        </w:rPr>
        <w:t>‘</w:t>
      </w:r>
      <w:r w:rsidR="00C94BEF" w:rsidRPr="0035578A">
        <w:rPr>
          <w:color w:val="000000" w:themeColor="text1"/>
        </w:rPr>
        <w:t>Graduates go on to higher paid jobs and add to the nation’s strength in the global knowledge based economy</w:t>
      </w:r>
      <w:r w:rsidR="00C577FF">
        <w:rPr>
          <w:color w:val="000000" w:themeColor="text1"/>
        </w:rPr>
        <w:t>’</w:t>
      </w:r>
      <w:r w:rsidR="00C94BEF" w:rsidRPr="0035578A">
        <w:rPr>
          <w:color w:val="000000" w:themeColor="text1"/>
        </w:rPr>
        <w:t xml:space="preserve"> </w:t>
      </w:r>
      <w:r w:rsidR="00811A9D">
        <w:rPr>
          <w:color w:val="000000" w:themeColor="text1"/>
        </w:rPr>
        <w:t>by</w:t>
      </w:r>
      <w:r w:rsidR="00C94BEF">
        <w:rPr>
          <w:color w:val="000000" w:themeColor="text1"/>
        </w:rPr>
        <w:t xml:space="preserve"> observ</w:t>
      </w:r>
      <w:r w:rsidR="00811A9D">
        <w:rPr>
          <w:color w:val="000000" w:themeColor="text1"/>
        </w:rPr>
        <w:t>ing</w:t>
      </w:r>
      <w:r w:rsidR="00C94BEF">
        <w:rPr>
          <w:color w:val="000000" w:themeColor="text1"/>
        </w:rPr>
        <w:t>:</w:t>
      </w:r>
      <w:r w:rsidR="008B375B">
        <w:t xml:space="preserve"> </w:t>
      </w:r>
      <w:r w:rsidR="005D6B66">
        <w:t>‘</w:t>
      </w:r>
      <w:r w:rsidR="008B375B">
        <w:t>…increasing the sheer volume of tertiary education does not necessarily translate into social, economic and personal good. That depends on the quality, accessibility and direction of study</w:t>
      </w:r>
      <w:r>
        <w:t xml:space="preserve">’ </w:t>
      </w:r>
      <w:r w:rsidR="008B375B">
        <w:t>(</w:t>
      </w:r>
      <w:proofErr w:type="spellStart"/>
      <w:r w:rsidR="008B375B">
        <w:t>Augar</w:t>
      </w:r>
      <w:proofErr w:type="spellEnd"/>
      <w:r w:rsidR="008B375B">
        <w:t xml:space="preserve"> 2019: 8), we are yet to see a concerted challenge</w:t>
      </w:r>
      <w:r w:rsidR="00B461AE">
        <w:t xml:space="preserve"> </w:t>
      </w:r>
      <w:r w:rsidR="00B461AE" w:rsidRPr="00D53DFB">
        <w:rPr>
          <w:color w:val="000000" w:themeColor="text1"/>
        </w:rPr>
        <w:lastRenderedPageBreak/>
        <w:t>(</w:t>
      </w:r>
      <w:r w:rsidR="009A38FA" w:rsidRPr="00D53DFB">
        <w:rPr>
          <w:color w:val="000000" w:themeColor="text1"/>
        </w:rPr>
        <w:t xml:space="preserve">although </w:t>
      </w:r>
      <w:r w:rsidR="00B461AE" w:rsidRPr="00D53DFB">
        <w:rPr>
          <w:color w:val="000000" w:themeColor="text1"/>
        </w:rPr>
        <w:t>Dean Kenning 2018 provides a lead)</w:t>
      </w:r>
      <w:r w:rsidR="008B375B" w:rsidRPr="00D53DFB">
        <w:rPr>
          <w:color w:val="000000" w:themeColor="text1"/>
        </w:rPr>
        <w:t xml:space="preserve"> </w:t>
      </w:r>
      <w:r w:rsidR="00B408C5">
        <w:t>by</w:t>
      </w:r>
      <w:r w:rsidR="008B375B">
        <w:t xml:space="preserve"> the art</w:t>
      </w:r>
      <w:r w:rsidR="004C0E71">
        <w:t xml:space="preserve"> </w:t>
      </w:r>
      <w:r w:rsidR="008B375B">
        <w:t>school sector to the assumption underpinning the Browne report: that high academic qualifications correlate with high salaries</w:t>
      </w:r>
      <w:r w:rsidR="00B461AE">
        <w:t>.</w:t>
      </w:r>
      <w:r w:rsidR="002357D2">
        <w:t xml:space="preserve"> A challenge which should emphasise the social and cultural benefits of an arts education, rather than a crude correlation between graduates and pay-grades. Where did this narrow thinking come from?</w:t>
      </w:r>
    </w:p>
    <w:p w14:paraId="4ABE891C" w14:textId="5995E267" w:rsidR="007A2352" w:rsidRDefault="009239D6" w:rsidP="00006225">
      <w:pPr>
        <w:spacing w:line="480" w:lineRule="auto"/>
      </w:pPr>
      <w:r w:rsidRPr="00D53DFB">
        <w:rPr>
          <w:color w:val="000000" w:themeColor="text1"/>
        </w:rPr>
        <w:t>‘</w:t>
      </w:r>
      <w:r w:rsidR="007A3EE3" w:rsidRPr="00D53DFB">
        <w:rPr>
          <w:color w:val="000000" w:themeColor="text1"/>
        </w:rPr>
        <w:t>Neoliberalism</w:t>
      </w:r>
      <w:r w:rsidRPr="00D53DFB">
        <w:rPr>
          <w:color w:val="000000" w:themeColor="text1"/>
        </w:rPr>
        <w:t>‘ is a term generally surveyed by Alfredo Saad-</w:t>
      </w:r>
      <w:r w:rsidR="00CF66E2" w:rsidRPr="00CF66E2">
        <w:rPr>
          <w:color w:val="000000" w:themeColor="text1"/>
        </w:rPr>
        <w:t>Filho</w:t>
      </w:r>
      <w:r w:rsidRPr="00D53DFB">
        <w:rPr>
          <w:color w:val="000000" w:themeColor="text1"/>
        </w:rPr>
        <w:t xml:space="preserve"> and Deborah Johnston (2005), and exhaustively analysed by </w:t>
      </w:r>
      <w:r w:rsidR="006311AA" w:rsidRPr="00D53DFB">
        <w:rPr>
          <w:color w:val="000000" w:themeColor="text1"/>
        </w:rPr>
        <w:t xml:space="preserve"> </w:t>
      </w:r>
      <w:r w:rsidRPr="00D53DFB">
        <w:rPr>
          <w:color w:val="000000" w:themeColor="text1"/>
        </w:rPr>
        <w:t>Terry Flew (2014)</w:t>
      </w:r>
      <w:r w:rsidR="00B4278E" w:rsidRPr="00D53DFB">
        <w:rPr>
          <w:color w:val="000000" w:themeColor="text1"/>
        </w:rPr>
        <w:t>. It</w:t>
      </w:r>
      <w:r w:rsidRPr="00D53DFB">
        <w:rPr>
          <w:color w:val="000000" w:themeColor="text1"/>
        </w:rPr>
        <w:t xml:space="preserve"> </w:t>
      </w:r>
      <w:r w:rsidR="00574C11">
        <w:t xml:space="preserve">is </w:t>
      </w:r>
      <w:r w:rsidR="007A3EE3">
        <w:t xml:space="preserve">associated with notions of a free market in which competition is </w:t>
      </w:r>
      <w:r w:rsidR="00A669A6">
        <w:t>enhanced</w:t>
      </w:r>
      <w:r w:rsidR="007A3EE3">
        <w:t xml:space="preserve"> through economic deregulation</w:t>
      </w:r>
      <w:r w:rsidR="00F52A40">
        <w:t>,</w:t>
      </w:r>
      <w:r w:rsidR="007A3EE3">
        <w:t xml:space="preserve"> and the application of social policies designed to favour </w:t>
      </w:r>
      <w:r w:rsidR="00B3258E">
        <w:t xml:space="preserve">profit-oriented </w:t>
      </w:r>
      <w:r w:rsidR="007A3EE3">
        <w:t xml:space="preserve">business. </w:t>
      </w:r>
    </w:p>
    <w:p w14:paraId="0A2A8148" w14:textId="2190EC7C" w:rsidR="00B3258E" w:rsidRPr="008208BA" w:rsidRDefault="00A37714" w:rsidP="00B3258E">
      <w:pPr>
        <w:spacing w:line="480" w:lineRule="auto"/>
        <w:rPr>
          <w:color w:val="000000" w:themeColor="text1"/>
        </w:rPr>
      </w:pPr>
      <w:r w:rsidRPr="008208BA">
        <w:rPr>
          <w:color w:val="000000" w:themeColor="text1"/>
        </w:rPr>
        <w:t>I</w:t>
      </w:r>
      <w:r w:rsidR="00B3258E" w:rsidRPr="008208BA">
        <w:rPr>
          <w:color w:val="000000" w:themeColor="text1"/>
        </w:rPr>
        <w:t xml:space="preserve">n the realm of </w:t>
      </w:r>
      <w:r w:rsidRPr="008208BA">
        <w:rPr>
          <w:color w:val="000000" w:themeColor="text1"/>
        </w:rPr>
        <w:t xml:space="preserve">visual art </w:t>
      </w:r>
      <w:r w:rsidR="00B3258E" w:rsidRPr="008208BA">
        <w:rPr>
          <w:color w:val="000000" w:themeColor="text1"/>
        </w:rPr>
        <w:t xml:space="preserve">education at the tertiary level, the neoliberal mindset </w:t>
      </w:r>
      <w:r w:rsidR="00906D25" w:rsidRPr="008208BA">
        <w:rPr>
          <w:color w:val="000000" w:themeColor="text1"/>
        </w:rPr>
        <w:t xml:space="preserve">emanating </w:t>
      </w:r>
      <w:r w:rsidR="00E2709B" w:rsidRPr="008208BA">
        <w:rPr>
          <w:color w:val="000000" w:themeColor="text1"/>
        </w:rPr>
        <w:t xml:space="preserve">since the 1980s </w:t>
      </w:r>
      <w:r w:rsidR="00906D25" w:rsidRPr="008208BA">
        <w:rPr>
          <w:color w:val="000000" w:themeColor="text1"/>
        </w:rPr>
        <w:t>from</w:t>
      </w:r>
      <w:r w:rsidR="00E2709B" w:rsidRPr="008208BA">
        <w:rPr>
          <w:color w:val="000000" w:themeColor="text1"/>
        </w:rPr>
        <w:t xml:space="preserve"> policies termed</w:t>
      </w:r>
      <w:r w:rsidR="00906D25" w:rsidRPr="008208BA">
        <w:rPr>
          <w:color w:val="000000" w:themeColor="text1"/>
        </w:rPr>
        <w:t xml:space="preserve"> </w:t>
      </w:r>
      <w:r w:rsidR="00906D25" w:rsidRPr="001868ED">
        <w:rPr>
          <w:color w:val="000000" w:themeColor="text1"/>
        </w:rPr>
        <w:t>New Public Management</w:t>
      </w:r>
      <w:r w:rsidR="00E2709B" w:rsidRPr="001868ED">
        <w:rPr>
          <w:color w:val="000000" w:themeColor="text1"/>
        </w:rPr>
        <w:t xml:space="preserve"> (Hood 1991; Gruening 2001) </w:t>
      </w:r>
      <w:r w:rsidR="00B3258E" w:rsidRPr="008208BA">
        <w:rPr>
          <w:color w:val="000000" w:themeColor="text1"/>
        </w:rPr>
        <w:t xml:space="preserve">is manifested </w:t>
      </w:r>
      <w:r w:rsidR="00906D25" w:rsidRPr="008208BA">
        <w:rPr>
          <w:color w:val="000000" w:themeColor="text1"/>
        </w:rPr>
        <w:t>in the policy paper presented to Government by the Competition and Marketing Authority (2015</w:t>
      </w:r>
      <w:r w:rsidR="0042264E" w:rsidRPr="008208BA">
        <w:rPr>
          <w:color w:val="000000" w:themeColor="text1"/>
        </w:rPr>
        <w:t xml:space="preserve"> </w:t>
      </w:r>
      <w:r w:rsidR="00906D25" w:rsidRPr="008208BA">
        <w:rPr>
          <w:color w:val="000000" w:themeColor="text1"/>
        </w:rPr>
        <w:t>)</w:t>
      </w:r>
      <w:r w:rsidR="00920EFD" w:rsidRPr="008208BA">
        <w:rPr>
          <w:color w:val="000000" w:themeColor="text1"/>
        </w:rPr>
        <w:t xml:space="preserve"> </w:t>
      </w:r>
      <w:r w:rsidR="00B3258E" w:rsidRPr="008208BA">
        <w:rPr>
          <w:color w:val="000000" w:themeColor="text1"/>
        </w:rPr>
        <w:t>in</w:t>
      </w:r>
      <w:r w:rsidR="00636C32" w:rsidRPr="008208BA">
        <w:rPr>
          <w:color w:val="000000" w:themeColor="text1"/>
        </w:rPr>
        <w:t xml:space="preserve"> these general strategies:</w:t>
      </w:r>
    </w:p>
    <w:p w14:paraId="1BAE6B45" w14:textId="14DE588C" w:rsidR="00B3258E" w:rsidRDefault="00B3258E" w:rsidP="00B3258E">
      <w:pPr>
        <w:spacing w:line="480" w:lineRule="auto"/>
        <w:ind w:left="720"/>
      </w:pPr>
      <w:r>
        <w:t>T</w:t>
      </w:r>
      <w:r w:rsidR="00734378">
        <w:t>he introduction of business logic to university and college management.</w:t>
      </w:r>
    </w:p>
    <w:p w14:paraId="0D55EDD1" w14:textId="37E356DB" w:rsidR="00B3258E" w:rsidRDefault="00B3258E" w:rsidP="00B3258E">
      <w:pPr>
        <w:spacing w:line="480" w:lineRule="auto"/>
        <w:ind w:left="720"/>
      </w:pPr>
      <w:r>
        <w:t>Bureaucratic administrative procedures</w:t>
      </w:r>
      <w:r w:rsidR="00AA3151">
        <w:t>.</w:t>
      </w:r>
    </w:p>
    <w:p w14:paraId="349123CC" w14:textId="04EE73B0" w:rsidR="00B3258E" w:rsidRPr="009C6F66" w:rsidRDefault="00AA3151" w:rsidP="00B3258E">
      <w:pPr>
        <w:ind w:left="720"/>
        <w:rPr>
          <w:color w:val="000000" w:themeColor="text1"/>
        </w:rPr>
      </w:pPr>
      <w:r w:rsidRPr="009C6F66">
        <w:rPr>
          <w:color w:val="000000" w:themeColor="text1"/>
        </w:rPr>
        <w:t>Imposing</w:t>
      </w:r>
      <w:r w:rsidR="00B3258E" w:rsidRPr="009C6F66">
        <w:rPr>
          <w:color w:val="000000" w:themeColor="text1"/>
        </w:rPr>
        <w:t xml:space="preserve"> a curriculum dictated by ‘professional practices’ </w:t>
      </w:r>
      <w:r w:rsidR="00686733" w:rsidRPr="009C6F66">
        <w:rPr>
          <w:color w:val="000000" w:themeColor="text1"/>
        </w:rPr>
        <w:t>championing</w:t>
      </w:r>
      <w:r w:rsidR="003239F7" w:rsidRPr="009C6F66">
        <w:rPr>
          <w:color w:val="000000" w:themeColor="text1"/>
        </w:rPr>
        <w:t xml:space="preserve"> strategies of</w:t>
      </w:r>
      <w:r w:rsidR="00B3258E" w:rsidRPr="009C6F66">
        <w:rPr>
          <w:color w:val="000000" w:themeColor="text1"/>
        </w:rPr>
        <w:t xml:space="preserve"> enterprise and entrepreneurialism</w:t>
      </w:r>
      <w:r w:rsidR="00686733" w:rsidRPr="009C6F66">
        <w:rPr>
          <w:color w:val="000000" w:themeColor="text1"/>
        </w:rPr>
        <w:t xml:space="preserve"> over an understanding of visual perception and visual communication through material practices.</w:t>
      </w:r>
    </w:p>
    <w:p w14:paraId="235AFFA7" w14:textId="77777777" w:rsidR="00B3258E" w:rsidRDefault="00B3258E" w:rsidP="00CE098F">
      <w:pPr>
        <w:ind w:left="720"/>
      </w:pPr>
    </w:p>
    <w:p w14:paraId="3F171DC7" w14:textId="42A05C3F" w:rsidR="00B3258E" w:rsidRDefault="00B3258E" w:rsidP="00B3258E">
      <w:pPr>
        <w:ind w:left="720"/>
      </w:pPr>
      <w:r>
        <w:t>Research driven by assessment criteria related to economic impact rather than a contribution to original knowledge</w:t>
      </w:r>
    </w:p>
    <w:p w14:paraId="2CF47ED3" w14:textId="77777777" w:rsidR="00CD03B6" w:rsidRDefault="00086116" w:rsidP="00CD03B6">
      <w:pPr>
        <w:spacing w:before="100" w:beforeAutospacing="1" w:after="100" w:afterAutospacing="1" w:line="480" w:lineRule="auto"/>
        <w:rPr>
          <w:color w:val="000000" w:themeColor="text1"/>
        </w:rPr>
      </w:pPr>
      <w:r w:rsidRPr="00C548A7">
        <w:rPr>
          <w:bCs/>
          <w:color w:val="000000" w:themeColor="text1"/>
        </w:rPr>
        <w:t>Specifically, n</w:t>
      </w:r>
      <w:r w:rsidR="00A37714" w:rsidRPr="00C548A7">
        <w:rPr>
          <w:bCs/>
          <w:color w:val="000000" w:themeColor="text1"/>
        </w:rPr>
        <w:t xml:space="preserve">eoliberal policy </w:t>
      </w:r>
      <w:r w:rsidR="00F73D36" w:rsidRPr="00C548A7">
        <w:rPr>
          <w:bCs/>
          <w:color w:val="000000" w:themeColor="text1"/>
        </w:rPr>
        <w:t>ha</w:t>
      </w:r>
      <w:r w:rsidR="00A37714" w:rsidRPr="00C548A7">
        <w:rPr>
          <w:bCs/>
          <w:color w:val="000000" w:themeColor="text1"/>
        </w:rPr>
        <w:t>s chang</w:t>
      </w:r>
      <w:r w:rsidR="00F73D36" w:rsidRPr="00C548A7">
        <w:rPr>
          <w:bCs/>
          <w:color w:val="000000" w:themeColor="text1"/>
        </w:rPr>
        <w:t>ed</w:t>
      </w:r>
      <w:r w:rsidR="00A37714" w:rsidRPr="00C548A7">
        <w:rPr>
          <w:bCs/>
          <w:color w:val="000000" w:themeColor="text1"/>
        </w:rPr>
        <w:t xml:space="preserve"> the structure and format of </w:t>
      </w:r>
      <w:r w:rsidRPr="00C548A7">
        <w:rPr>
          <w:bCs/>
          <w:color w:val="000000" w:themeColor="text1"/>
        </w:rPr>
        <w:t>art</w:t>
      </w:r>
      <w:r w:rsidR="00700DF2">
        <w:rPr>
          <w:bCs/>
          <w:color w:val="000000" w:themeColor="text1"/>
        </w:rPr>
        <w:t xml:space="preserve"> </w:t>
      </w:r>
      <w:r w:rsidRPr="00C548A7">
        <w:rPr>
          <w:bCs/>
          <w:color w:val="000000" w:themeColor="text1"/>
        </w:rPr>
        <w:t>schools within the tertiary sector</w:t>
      </w:r>
      <w:r w:rsidR="00636C32" w:rsidRPr="00C548A7">
        <w:rPr>
          <w:color w:val="000000" w:themeColor="text1"/>
        </w:rPr>
        <w:t xml:space="preserve"> in ways such as</w:t>
      </w:r>
      <w:r w:rsidR="00A37714" w:rsidRPr="00C548A7">
        <w:rPr>
          <w:color w:val="000000" w:themeColor="text1"/>
        </w:rPr>
        <w:t>:</w:t>
      </w:r>
    </w:p>
    <w:p w14:paraId="4D70BC48" w14:textId="77777777" w:rsidR="00CD03B6" w:rsidRDefault="00A37714" w:rsidP="00CD03B6">
      <w:pPr>
        <w:spacing w:before="100" w:beforeAutospacing="1" w:after="100" w:afterAutospacing="1" w:line="480" w:lineRule="auto"/>
        <w:ind w:left="720"/>
        <w:rPr>
          <w:color w:val="000000" w:themeColor="text1"/>
        </w:rPr>
      </w:pPr>
      <w:r w:rsidRPr="00A37714">
        <w:rPr>
          <w:color w:val="000000"/>
        </w:rPr>
        <w:t>Fee paying</w:t>
      </w:r>
      <w:r w:rsidR="00F73D36">
        <w:rPr>
          <w:color w:val="000000"/>
        </w:rPr>
        <w:t>,</w:t>
      </w:r>
      <w:r w:rsidRPr="00A37714">
        <w:rPr>
          <w:color w:val="000000"/>
        </w:rPr>
        <w:t xml:space="preserve"> adopting the market logic of the private sector.  </w:t>
      </w:r>
    </w:p>
    <w:p w14:paraId="151BA847" w14:textId="612E6F4D" w:rsidR="00A37714" w:rsidRPr="00CD03B6" w:rsidRDefault="00A37714" w:rsidP="00CD03B6">
      <w:pPr>
        <w:spacing w:before="100" w:beforeAutospacing="1" w:after="100" w:afterAutospacing="1"/>
        <w:ind w:left="720"/>
        <w:rPr>
          <w:color w:val="000000" w:themeColor="text1"/>
        </w:rPr>
      </w:pPr>
      <w:r w:rsidRPr="00A37714">
        <w:rPr>
          <w:color w:val="000000"/>
        </w:rPr>
        <w:t>Amalgamat</w:t>
      </w:r>
      <w:r w:rsidR="00291203">
        <w:rPr>
          <w:color w:val="000000"/>
        </w:rPr>
        <w:t>ion</w:t>
      </w:r>
      <w:r w:rsidR="00B33950">
        <w:rPr>
          <w:color w:val="000000"/>
        </w:rPr>
        <w:t xml:space="preserve"> of art</w:t>
      </w:r>
      <w:r w:rsidR="00700DF2">
        <w:rPr>
          <w:color w:val="000000"/>
        </w:rPr>
        <w:t xml:space="preserve"> </w:t>
      </w:r>
      <w:r w:rsidR="00B33950">
        <w:rPr>
          <w:color w:val="000000"/>
        </w:rPr>
        <w:t>schools</w:t>
      </w:r>
      <w:r w:rsidRPr="00A37714">
        <w:rPr>
          <w:color w:val="000000"/>
        </w:rPr>
        <w:t xml:space="preserve"> into university structures originally designed to teach other academic subjects. </w:t>
      </w:r>
    </w:p>
    <w:p w14:paraId="609849BC" w14:textId="34EB1A4E" w:rsidR="00557503" w:rsidRDefault="00086116" w:rsidP="003D17B0">
      <w:pPr>
        <w:spacing w:before="100" w:beforeAutospacing="1" w:after="240"/>
        <w:ind w:left="720"/>
        <w:rPr>
          <w:color w:val="000000"/>
        </w:rPr>
      </w:pPr>
      <w:r>
        <w:rPr>
          <w:color w:val="000000"/>
        </w:rPr>
        <w:lastRenderedPageBreak/>
        <w:t>Involve</w:t>
      </w:r>
      <w:r w:rsidR="00291203">
        <w:rPr>
          <w:color w:val="000000"/>
        </w:rPr>
        <w:t>ment</w:t>
      </w:r>
      <w:r>
        <w:rPr>
          <w:color w:val="000000"/>
        </w:rPr>
        <w:t xml:space="preserve"> in</w:t>
      </w:r>
      <w:r w:rsidR="00A37714" w:rsidRPr="00A37714">
        <w:rPr>
          <w:color w:val="000000"/>
        </w:rPr>
        <w:t xml:space="preserve"> the competition between universities, </w:t>
      </w:r>
      <w:r>
        <w:rPr>
          <w:color w:val="000000"/>
        </w:rPr>
        <w:t>measured by the</w:t>
      </w:r>
      <w:r w:rsidR="00A37714" w:rsidRPr="00A37714">
        <w:rPr>
          <w:color w:val="000000"/>
        </w:rPr>
        <w:t xml:space="preserve"> number of 'firsts'</w:t>
      </w:r>
      <w:r>
        <w:rPr>
          <w:color w:val="000000"/>
        </w:rPr>
        <w:t xml:space="preserve"> awarded,</w:t>
      </w:r>
      <w:r w:rsidR="00A37714" w:rsidRPr="00A37714">
        <w:rPr>
          <w:color w:val="000000"/>
        </w:rPr>
        <w:t xml:space="preserve"> employability</w:t>
      </w:r>
      <w:r>
        <w:rPr>
          <w:color w:val="000000"/>
        </w:rPr>
        <w:t xml:space="preserve"> statistics</w:t>
      </w:r>
      <w:r w:rsidR="00F73D36">
        <w:rPr>
          <w:color w:val="000000"/>
        </w:rPr>
        <w:t>, the Teaching Excellence Framework (TEF),</w:t>
      </w:r>
      <w:r w:rsidR="00A37714" w:rsidRPr="00A37714">
        <w:rPr>
          <w:color w:val="000000"/>
        </w:rPr>
        <w:t xml:space="preserve"> </w:t>
      </w:r>
      <w:r>
        <w:rPr>
          <w:color w:val="000000"/>
        </w:rPr>
        <w:t>and the Research Excellence Framework (REF) public profile.</w:t>
      </w:r>
    </w:p>
    <w:p w14:paraId="3FE723FB" w14:textId="0C7F4264" w:rsidR="00A37714" w:rsidRPr="00557503" w:rsidRDefault="00A37714" w:rsidP="003D17B0">
      <w:pPr>
        <w:spacing w:before="100" w:beforeAutospacing="1" w:after="240"/>
        <w:ind w:left="720"/>
        <w:rPr>
          <w:color w:val="000000"/>
        </w:rPr>
      </w:pPr>
      <w:r w:rsidRPr="00557503">
        <w:rPr>
          <w:color w:val="000000"/>
          <w:shd w:val="clear" w:color="auto" w:fill="FFFFFF"/>
        </w:rPr>
        <w:t>Art</w:t>
      </w:r>
      <w:r w:rsidR="00700DF2">
        <w:rPr>
          <w:color w:val="000000"/>
          <w:shd w:val="clear" w:color="auto" w:fill="FFFFFF"/>
        </w:rPr>
        <w:t xml:space="preserve"> </w:t>
      </w:r>
      <w:r w:rsidRPr="00557503">
        <w:rPr>
          <w:color w:val="000000"/>
          <w:shd w:val="clear" w:color="auto" w:fill="FFFFFF"/>
        </w:rPr>
        <w:t xml:space="preserve">schools and </w:t>
      </w:r>
      <w:r w:rsidR="00C16042">
        <w:rPr>
          <w:color w:val="000000"/>
          <w:shd w:val="clear" w:color="auto" w:fill="FFFFFF"/>
        </w:rPr>
        <w:t>p</w:t>
      </w:r>
      <w:r w:rsidRPr="00557503">
        <w:rPr>
          <w:color w:val="000000"/>
          <w:shd w:val="clear" w:color="auto" w:fill="FFFFFF"/>
        </w:rPr>
        <w:t xml:space="preserve">olytechnics were previously seen as </w:t>
      </w:r>
      <w:r w:rsidR="004F762A">
        <w:rPr>
          <w:color w:val="000000"/>
          <w:shd w:val="clear" w:color="auto" w:fill="FFFFFF"/>
        </w:rPr>
        <w:t>less</w:t>
      </w:r>
      <w:r w:rsidRPr="00557503">
        <w:rPr>
          <w:color w:val="000000"/>
          <w:shd w:val="clear" w:color="auto" w:fill="FFFFFF"/>
        </w:rPr>
        <w:t xml:space="preserve"> 'academic' </w:t>
      </w:r>
      <w:r w:rsidR="004F762A">
        <w:rPr>
          <w:color w:val="000000"/>
          <w:shd w:val="clear" w:color="auto" w:fill="FFFFFF"/>
        </w:rPr>
        <w:t>than the universities</w:t>
      </w:r>
      <w:r w:rsidRPr="00557503">
        <w:rPr>
          <w:color w:val="000000"/>
          <w:shd w:val="clear" w:color="auto" w:fill="FFFFFF"/>
        </w:rPr>
        <w:t>, which had higher</w:t>
      </w:r>
      <w:r w:rsidR="004F762A">
        <w:rPr>
          <w:color w:val="000000"/>
          <w:shd w:val="clear" w:color="auto" w:fill="FFFFFF"/>
        </w:rPr>
        <w:t xml:space="preserve"> academic</w:t>
      </w:r>
      <w:r w:rsidRPr="00557503">
        <w:rPr>
          <w:color w:val="000000"/>
          <w:shd w:val="clear" w:color="auto" w:fill="FFFFFF"/>
        </w:rPr>
        <w:t xml:space="preserve"> entry standards. </w:t>
      </w:r>
      <w:r w:rsidR="00C16042">
        <w:rPr>
          <w:color w:val="000000"/>
          <w:shd w:val="clear" w:color="auto" w:fill="FFFFFF"/>
        </w:rPr>
        <w:t>W</w:t>
      </w:r>
      <w:r w:rsidRPr="00557503">
        <w:rPr>
          <w:color w:val="000000"/>
          <w:shd w:val="clear" w:color="auto" w:fill="FFFFFF"/>
        </w:rPr>
        <w:t>hen they were amalgamated, </w:t>
      </w:r>
      <w:r w:rsidRPr="003D17B0">
        <w:rPr>
          <w:bCs/>
          <w:color w:val="000000"/>
          <w:shd w:val="clear" w:color="auto" w:fill="FFFFFF"/>
        </w:rPr>
        <w:t xml:space="preserve">the university </w:t>
      </w:r>
      <w:r w:rsidR="004F762A">
        <w:rPr>
          <w:bCs/>
          <w:color w:val="000000"/>
          <w:shd w:val="clear" w:color="auto" w:fill="FFFFFF"/>
        </w:rPr>
        <w:t xml:space="preserve">became </w:t>
      </w:r>
      <w:r w:rsidRPr="003D17B0">
        <w:rPr>
          <w:bCs/>
          <w:color w:val="000000"/>
          <w:shd w:val="clear" w:color="auto" w:fill="FFFFFF"/>
        </w:rPr>
        <w:t>the</w:t>
      </w:r>
      <w:r w:rsidR="00C16042">
        <w:rPr>
          <w:bCs/>
          <w:color w:val="000000"/>
          <w:shd w:val="clear" w:color="auto" w:fill="FFFFFF"/>
        </w:rPr>
        <w:t xml:space="preserve"> default</w:t>
      </w:r>
      <w:r w:rsidRPr="003D17B0">
        <w:rPr>
          <w:bCs/>
          <w:color w:val="000000"/>
          <w:shd w:val="clear" w:color="auto" w:fill="FFFFFF"/>
        </w:rPr>
        <w:t xml:space="preserve"> model</w:t>
      </w:r>
      <w:r w:rsidRPr="00557503">
        <w:rPr>
          <w:color w:val="000000"/>
          <w:shd w:val="clear" w:color="auto" w:fill="FFFFFF"/>
        </w:rPr>
        <w:t>. (Isomorphism theory = institutions mimic more 'successful' ones, leading to homogenisation of institutions)</w:t>
      </w:r>
    </w:p>
    <w:p w14:paraId="215C1C7E" w14:textId="24736EDE" w:rsidR="00A37714" w:rsidRPr="00A37714" w:rsidRDefault="00A37714" w:rsidP="0090270E">
      <w:pPr>
        <w:spacing w:before="100" w:beforeAutospacing="1" w:after="100" w:afterAutospacing="1" w:line="480" w:lineRule="auto"/>
        <w:rPr>
          <w:color w:val="000000"/>
        </w:rPr>
      </w:pPr>
      <w:r w:rsidRPr="003D17B0">
        <w:rPr>
          <w:bCs/>
          <w:color w:val="000000"/>
          <w:shd w:val="clear" w:color="auto" w:fill="FFFFFF"/>
        </w:rPr>
        <w:t>The ne</w:t>
      </w:r>
      <w:r w:rsidR="00557503">
        <w:rPr>
          <w:bCs/>
          <w:color w:val="000000"/>
          <w:shd w:val="clear" w:color="auto" w:fill="FFFFFF"/>
        </w:rPr>
        <w:t>oliberal</w:t>
      </w:r>
      <w:r w:rsidRPr="003D17B0">
        <w:rPr>
          <w:bCs/>
          <w:color w:val="000000"/>
          <w:shd w:val="clear" w:color="auto" w:fill="FFFFFF"/>
        </w:rPr>
        <w:t xml:space="preserve"> format and structure</w:t>
      </w:r>
      <w:r w:rsidR="00C16042">
        <w:rPr>
          <w:bCs/>
          <w:color w:val="000000"/>
          <w:shd w:val="clear" w:color="auto" w:fill="FFFFFF"/>
        </w:rPr>
        <w:t xml:space="preserve"> applied to</w:t>
      </w:r>
      <w:r w:rsidRPr="003D17B0">
        <w:rPr>
          <w:bCs/>
          <w:color w:val="000000"/>
          <w:shd w:val="clear" w:color="auto" w:fill="FFFFFF"/>
        </w:rPr>
        <w:t xml:space="preserve"> art</w:t>
      </w:r>
      <w:r w:rsidR="00700DF2">
        <w:rPr>
          <w:bCs/>
          <w:color w:val="000000"/>
          <w:shd w:val="clear" w:color="auto" w:fill="FFFFFF"/>
        </w:rPr>
        <w:t xml:space="preserve"> </w:t>
      </w:r>
      <w:r w:rsidRPr="003D17B0">
        <w:rPr>
          <w:bCs/>
          <w:color w:val="000000"/>
          <w:shd w:val="clear" w:color="auto" w:fill="FFFFFF"/>
        </w:rPr>
        <w:t>schools</w:t>
      </w:r>
      <w:r w:rsidR="00557503">
        <w:rPr>
          <w:bCs/>
          <w:color w:val="000000"/>
          <w:shd w:val="clear" w:color="auto" w:fill="FFFFFF"/>
        </w:rPr>
        <w:t xml:space="preserve"> within the university structure</w:t>
      </w:r>
      <w:r w:rsidRPr="003D17B0">
        <w:rPr>
          <w:bCs/>
          <w:color w:val="000000"/>
          <w:shd w:val="clear" w:color="auto" w:fill="FFFFFF"/>
        </w:rPr>
        <w:t xml:space="preserve"> prioritises </w:t>
      </w:r>
      <w:r w:rsidR="00557503">
        <w:rPr>
          <w:bCs/>
          <w:color w:val="000000"/>
          <w:shd w:val="clear" w:color="auto" w:fill="FFFFFF"/>
        </w:rPr>
        <w:t>a</w:t>
      </w:r>
      <w:r w:rsidRPr="003D17B0">
        <w:rPr>
          <w:bCs/>
          <w:color w:val="000000"/>
          <w:shd w:val="clear" w:color="auto" w:fill="FFFFFF"/>
        </w:rPr>
        <w:t xml:space="preserve"> type of learning with a narrower focus.</w:t>
      </w:r>
      <w:r w:rsidRPr="00A37714">
        <w:rPr>
          <w:b/>
          <w:bCs/>
          <w:color w:val="000000"/>
          <w:shd w:val="clear" w:color="auto" w:fill="FFFFFF"/>
        </w:rPr>
        <w:t> </w:t>
      </w:r>
      <w:r w:rsidR="00557503">
        <w:rPr>
          <w:color w:val="000000"/>
          <w:shd w:val="clear" w:color="auto" w:fill="FFFFFF"/>
        </w:rPr>
        <w:t>Courses</w:t>
      </w:r>
      <w:r w:rsidRPr="00A37714">
        <w:rPr>
          <w:color w:val="000000"/>
          <w:shd w:val="clear" w:color="auto" w:fill="FFFFFF"/>
        </w:rPr>
        <w:t xml:space="preserve"> are now:</w:t>
      </w:r>
    </w:p>
    <w:p w14:paraId="65BDCC1D" w14:textId="3B007FE4" w:rsidR="00A37714" w:rsidRPr="00A37714" w:rsidRDefault="00557503" w:rsidP="003D17B0">
      <w:pPr>
        <w:spacing w:before="100" w:beforeAutospacing="1" w:after="100" w:afterAutospacing="1"/>
        <w:ind w:left="720"/>
        <w:rPr>
          <w:color w:val="000000"/>
        </w:rPr>
      </w:pPr>
      <w:r>
        <w:rPr>
          <w:color w:val="000000"/>
        </w:rPr>
        <w:t>M</w:t>
      </w:r>
      <w:r w:rsidR="00A37714" w:rsidRPr="00A37714">
        <w:rPr>
          <w:color w:val="000000"/>
        </w:rPr>
        <w:t>odular</w:t>
      </w:r>
      <w:r w:rsidR="001B43EA">
        <w:rPr>
          <w:color w:val="000000"/>
        </w:rPr>
        <w:t xml:space="preserve"> fragmented</w:t>
      </w:r>
      <w:r w:rsidR="00A37714" w:rsidRPr="00A37714">
        <w:rPr>
          <w:color w:val="000000"/>
        </w:rPr>
        <w:t>. Quick results are favoured. Experimentation is compromised.</w:t>
      </w:r>
    </w:p>
    <w:p w14:paraId="3AF93A6A" w14:textId="1D371E61" w:rsidR="00557503" w:rsidRDefault="00557503" w:rsidP="003D17B0">
      <w:pPr>
        <w:spacing w:before="100" w:beforeAutospacing="1" w:after="240"/>
        <w:ind w:left="720"/>
        <w:rPr>
          <w:color w:val="000000"/>
        </w:rPr>
      </w:pPr>
      <w:r>
        <w:rPr>
          <w:color w:val="000000"/>
        </w:rPr>
        <w:t>O</w:t>
      </w:r>
      <w:r w:rsidR="00A37714" w:rsidRPr="00A37714">
        <w:rPr>
          <w:color w:val="000000"/>
        </w:rPr>
        <w:t>utcome focused</w:t>
      </w:r>
      <w:r w:rsidR="004F762A">
        <w:rPr>
          <w:color w:val="000000"/>
        </w:rPr>
        <w:t>,</w:t>
      </w:r>
      <w:r w:rsidR="00A37714" w:rsidRPr="00A37714">
        <w:rPr>
          <w:color w:val="000000"/>
        </w:rPr>
        <w:t xml:space="preserve"> privileging </w:t>
      </w:r>
      <w:r>
        <w:rPr>
          <w:color w:val="000000"/>
        </w:rPr>
        <w:t>a</w:t>
      </w:r>
      <w:r w:rsidR="00A37714" w:rsidRPr="00A37714">
        <w:rPr>
          <w:color w:val="000000"/>
        </w:rPr>
        <w:t xml:space="preserve"> learning</w:t>
      </w:r>
      <w:r>
        <w:rPr>
          <w:color w:val="000000"/>
        </w:rPr>
        <w:t xml:space="preserve"> philosophy</w:t>
      </w:r>
      <w:r w:rsidR="00A37714" w:rsidRPr="00A37714">
        <w:rPr>
          <w:color w:val="000000"/>
        </w:rPr>
        <w:t xml:space="preserve"> focused on outcomes in the </w:t>
      </w:r>
      <w:r w:rsidR="00A37714" w:rsidRPr="003D17B0">
        <w:rPr>
          <w:bCs/>
          <w:color w:val="000000"/>
        </w:rPr>
        <w:t>cognitive domain</w:t>
      </w:r>
      <w:r>
        <w:rPr>
          <w:bCs/>
          <w:color w:val="000000"/>
        </w:rPr>
        <w:t>,</w:t>
      </w:r>
      <w:r w:rsidR="00A37714" w:rsidRPr="00A37714">
        <w:rPr>
          <w:color w:val="000000"/>
        </w:rPr>
        <w:t> as opposed to</w:t>
      </w:r>
      <w:r w:rsidR="00C16042">
        <w:rPr>
          <w:color w:val="000000"/>
        </w:rPr>
        <w:t>:</w:t>
      </w:r>
      <w:r w:rsidR="00A37714" w:rsidRPr="00A37714">
        <w:rPr>
          <w:color w:val="000000"/>
        </w:rPr>
        <w:t xml:space="preserve"> psychomotor skill</w:t>
      </w:r>
      <w:r>
        <w:rPr>
          <w:color w:val="000000"/>
        </w:rPr>
        <w:t>s</w:t>
      </w:r>
      <w:r w:rsidR="00A37714" w:rsidRPr="00A37714">
        <w:rPr>
          <w:color w:val="000000"/>
        </w:rPr>
        <w:t xml:space="preserve"> acquisition</w:t>
      </w:r>
      <w:r w:rsidR="00C16042">
        <w:rPr>
          <w:color w:val="000000"/>
        </w:rPr>
        <w:t>;</w:t>
      </w:r>
      <w:r>
        <w:rPr>
          <w:color w:val="000000"/>
        </w:rPr>
        <w:t xml:space="preserve"> the nurturing of</w:t>
      </w:r>
      <w:r w:rsidR="00A37714" w:rsidRPr="00A37714">
        <w:rPr>
          <w:color w:val="000000"/>
        </w:rPr>
        <w:t xml:space="preserve"> ways of looking </w:t>
      </w:r>
      <w:r>
        <w:rPr>
          <w:color w:val="000000"/>
        </w:rPr>
        <w:t>and</w:t>
      </w:r>
      <w:r w:rsidR="00A37714" w:rsidRPr="00A37714">
        <w:rPr>
          <w:color w:val="000000"/>
        </w:rPr>
        <w:t xml:space="preserve"> seeing</w:t>
      </w:r>
      <w:r w:rsidR="00C16042">
        <w:rPr>
          <w:color w:val="000000"/>
        </w:rPr>
        <w:t>; addressing</w:t>
      </w:r>
      <w:r w:rsidR="00A37714" w:rsidRPr="00A37714">
        <w:rPr>
          <w:color w:val="000000"/>
        </w:rPr>
        <w:t xml:space="preserve"> </w:t>
      </w:r>
      <w:r>
        <w:rPr>
          <w:color w:val="000000"/>
        </w:rPr>
        <w:t xml:space="preserve">the </w:t>
      </w:r>
      <w:r w:rsidR="00A37714" w:rsidRPr="00A37714">
        <w:rPr>
          <w:color w:val="000000"/>
        </w:rPr>
        <w:t xml:space="preserve">affective domain </w:t>
      </w:r>
      <w:r w:rsidR="00C16042">
        <w:rPr>
          <w:color w:val="000000"/>
        </w:rPr>
        <w:t>through</w:t>
      </w:r>
      <w:r w:rsidR="00A37714" w:rsidRPr="00A37714">
        <w:rPr>
          <w:color w:val="000000"/>
        </w:rPr>
        <w:t xml:space="preserve"> </w:t>
      </w:r>
      <w:r w:rsidR="00C16042">
        <w:rPr>
          <w:color w:val="000000"/>
        </w:rPr>
        <w:t>meditative perception</w:t>
      </w:r>
      <w:r w:rsidR="00A37714" w:rsidRPr="00A37714">
        <w:rPr>
          <w:color w:val="000000"/>
        </w:rPr>
        <w:t>,</w:t>
      </w:r>
      <w:r w:rsidR="00C16042">
        <w:rPr>
          <w:color w:val="000000"/>
        </w:rPr>
        <w:t xml:space="preserve"> and attending to</w:t>
      </w:r>
      <w:r w:rsidR="00A37714" w:rsidRPr="00A37714">
        <w:rPr>
          <w:color w:val="000000"/>
        </w:rPr>
        <w:t xml:space="preserve"> </w:t>
      </w:r>
      <w:r w:rsidR="00C16042">
        <w:rPr>
          <w:color w:val="000000"/>
        </w:rPr>
        <w:t xml:space="preserve">emotional </w:t>
      </w:r>
      <w:r w:rsidR="00A37714" w:rsidRPr="00A37714">
        <w:rPr>
          <w:color w:val="000000"/>
        </w:rPr>
        <w:t>responses. </w:t>
      </w:r>
    </w:p>
    <w:p w14:paraId="341F8245" w14:textId="3EEBBD29" w:rsidR="00A37714" w:rsidRPr="00557503" w:rsidRDefault="00F73D36" w:rsidP="0090270E">
      <w:pPr>
        <w:spacing w:before="100" w:beforeAutospacing="1" w:after="240" w:line="480" w:lineRule="auto"/>
        <w:rPr>
          <w:color w:val="000000"/>
        </w:rPr>
      </w:pPr>
      <w:r>
        <w:rPr>
          <w:bCs/>
          <w:color w:val="000000"/>
        </w:rPr>
        <w:t>If we are to sustain an art</w:t>
      </w:r>
      <w:r w:rsidR="00700DF2">
        <w:rPr>
          <w:bCs/>
          <w:color w:val="000000"/>
        </w:rPr>
        <w:t xml:space="preserve"> </w:t>
      </w:r>
      <w:r>
        <w:rPr>
          <w:bCs/>
          <w:color w:val="000000"/>
        </w:rPr>
        <w:t>school sensibility, differentiated from the university through discrete activities, we</w:t>
      </w:r>
      <w:r w:rsidR="004F762A">
        <w:rPr>
          <w:bCs/>
          <w:color w:val="000000"/>
        </w:rPr>
        <w:t xml:space="preserve"> must acknowledge that d</w:t>
      </w:r>
      <w:r w:rsidR="00A37714" w:rsidRPr="003D17B0">
        <w:rPr>
          <w:bCs/>
          <w:color w:val="000000"/>
        </w:rPr>
        <w:t>rawing practices</w:t>
      </w:r>
      <w:r>
        <w:rPr>
          <w:bCs/>
          <w:color w:val="000000"/>
        </w:rPr>
        <w:t xml:space="preserve"> are a key factor in </w:t>
      </w:r>
      <w:r w:rsidR="00A2321C">
        <w:rPr>
          <w:bCs/>
          <w:color w:val="000000"/>
        </w:rPr>
        <w:t>defining</w:t>
      </w:r>
      <w:r>
        <w:rPr>
          <w:bCs/>
          <w:color w:val="000000"/>
        </w:rPr>
        <w:t xml:space="preserve"> the differences</w:t>
      </w:r>
      <w:r w:rsidR="00460B87">
        <w:rPr>
          <w:bCs/>
          <w:color w:val="000000"/>
        </w:rPr>
        <w:t>, and recognise that current trends in the assessment process</w:t>
      </w:r>
      <w:r w:rsidR="00460B87">
        <w:rPr>
          <w:color w:val="000000"/>
        </w:rPr>
        <w:t xml:space="preserve"> might require reconsideration:</w:t>
      </w:r>
    </w:p>
    <w:p w14:paraId="37D56F41" w14:textId="1C9831BC" w:rsidR="00A37714" w:rsidRPr="00A37714" w:rsidRDefault="00C16042" w:rsidP="003D17B0">
      <w:pPr>
        <w:spacing w:before="100" w:beforeAutospacing="1" w:after="100" w:afterAutospacing="1"/>
        <w:ind w:left="720"/>
        <w:rPr>
          <w:color w:val="000000"/>
        </w:rPr>
      </w:pPr>
      <w:r>
        <w:rPr>
          <w:color w:val="000000"/>
        </w:rPr>
        <w:t>D</w:t>
      </w:r>
      <w:r w:rsidR="00A37714" w:rsidRPr="00A37714">
        <w:rPr>
          <w:color w:val="000000"/>
        </w:rPr>
        <w:t xml:space="preserve">rawing skill acquisition takes many hours of practice </w:t>
      </w:r>
      <w:r w:rsidR="00F73D36">
        <w:rPr>
          <w:color w:val="000000"/>
        </w:rPr>
        <w:t xml:space="preserve">which is </w:t>
      </w:r>
      <w:r w:rsidR="00A37714" w:rsidRPr="00A37714">
        <w:rPr>
          <w:color w:val="000000"/>
        </w:rPr>
        <w:t>not conducive to modularity</w:t>
      </w:r>
      <w:r w:rsidR="00AF43C0">
        <w:rPr>
          <w:color w:val="000000"/>
        </w:rPr>
        <w:t>.</w:t>
      </w:r>
      <w:r w:rsidR="00A37714" w:rsidRPr="00A37714">
        <w:rPr>
          <w:color w:val="000000"/>
        </w:rPr>
        <w:t xml:space="preserve"> </w:t>
      </w:r>
    </w:p>
    <w:p w14:paraId="1219D075" w14:textId="2566D3B3" w:rsidR="00A37714" w:rsidRPr="00A37714" w:rsidRDefault="00C16042" w:rsidP="003D17B0">
      <w:pPr>
        <w:spacing w:before="100" w:beforeAutospacing="1" w:after="100" w:afterAutospacing="1"/>
        <w:ind w:left="720"/>
        <w:rPr>
          <w:color w:val="000000"/>
        </w:rPr>
      </w:pPr>
      <w:r>
        <w:rPr>
          <w:color w:val="000000"/>
        </w:rPr>
        <w:t>D</w:t>
      </w:r>
      <w:r w:rsidR="00A37714" w:rsidRPr="00A37714">
        <w:rPr>
          <w:color w:val="000000"/>
        </w:rPr>
        <w:t>rawing encompasses all three domains of learning</w:t>
      </w:r>
      <w:r w:rsidR="00532838">
        <w:rPr>
          <w:color w:val="000000"/>
        </w:rPr>
        <w:t>:</w:t>
      </w:r>
      <w:r w:rsidR="00532838" w:rsidRPr="00532838">
        <w:rPr>
          <w:color w:val="000000" w:themeColor="text1"/>
        </w:rPr>
        <w:t xml:space="preserve"> cognitive, affective, and psychomotor.</w:t>
      </w:r>
    </w:p>
    <w:p w14:paraId="035EC2B1" w14:textId="77777777" w:rsidR="00A37714" w:rsidRPr="00A37714" w:rsidRDefault="00A37714" w:rsidP="00353EB8">
      <w:pPr>
        <w:spacing w:before="100" w:beforeAutospacing="1" w:after="100" w:afterAutospacing="1"/>
        <w:ind w:left="720"/>
        <w:rPr>
          <w:color w:val="000000"/>
        </w:rPr>
      </w:pPr>
      <w:r w:rsidRPr="00A37714">
        <w:rPr>
          <w:color w:val="000000"/>
        </w:rPr>
        <w:t>Technical ability is losing status. </w:t>
      </w:r>
    </w:p>
    <w:p w14:paraId="655FBDE4" w14:textId="77777777" w:rsidR="00A37714" w:rsidRPr="00A37714" w:rsidRDefault="00A37714" w:rsidP="00353EB8">
      <w:pPr>
        <w:spacing w:before="100" w:beforeAutospacing="1" w:after="100" w:afterAutospacing="1"/>
        <w:ind w:left="720"/>
        <w:rPr>
          <w:color w:val="000000"/>
        </w:rPr>
      </w:pPr>
      <w:r w:rsidRPr="00A37714">
        <w:rPr>
          <w:color w:val="000000"/>
        </w:rPr>
        <w:t>Affective engagement is hard to assess when not accompanied by technical skill. </w:t>
      </w:r>
    </w:p>
    <w:p w14:paraId="45E8E695" w14:textId="038E9B34" w:rsidR="00353EB8" w:rsidRDefault="00B33950" w:rsidP="00353EB8">
      <w:pPr>
        <w:spacing w:before="100" w:beforeAutospacing="1" w:after="240"/>
        <w:ind w:left="720"/>
        <w:rPr>
          <w:color w:val="000000"/>
        </w:rPr>
      </w:pPr>
      <w:r>
        <w:rPr>
          <w:color w:val="000000"/>
        </w:rPr>
        <w:t>The</w:t>
      </w:r>
      <w:r w:rsidR="00A37714" w:rsidRPr="00A37714">
        <w:rPr>
          <w:color w:val="000000"/>
        </w:rPr>
        <w:t xml:space="preserve"> lack</w:t>
      </w:r>
      <w:r>
        <w:rPr>
          <w:color w:val="000000"/>
        </w:rPr>
        <w:t xml:space="preserve"> of</w:t>
      </w:r>
      <w:r w:rsidR="00A37714" w:rsidRPr="00A37714">
        <w:rPr>
          <w:color w:val="000000"/>
        </w:rPr>
        <w:t xml:space="preserve"> appropriate assessment tools for assessing cognitive learning expressed as visual outcome. </w:t>
      </w:r>
    </w:p>
    <w:p w14:paraId="2504B982" w14:textId="246A113F" w:rsidR="00A37714" w:rsidRPr="00A37714" w:rsidRDefault="00A37714" w:rsidP="00353EB8">
      <w:pPr>
        <w:spacing w:before="100" w:beforeAutospacing="1" w:after="240"/>
        <w:ind w:left="720"/>
        <w:rPr>
          <w:color w:val="000000"/>
        </w:rPr>
      </w:pPr>
      <w:r w:rsidRPr="00A37714">
        <w:rPr>
          <w:color w:val="000000"/>
        </w:rPr>
        <w:t>(</w:t>
      </w:r>
      <w:r w:rsidR="00F73D36">
        <w:rPr>
          <w:color w:val="000000"/>
        </w:rPr>
        <w:t>Fava</w:t>
      </w:r>
      <w:r w:rsidRPr="00A37714">
        <w:rPr>
          <w:color w:val="000000"/>
        </w:rPr>
        <w:t xml:space="preserve"> 201</w:t>
      </w:r>
      <w:r w:rsidR="00C77B22">
        <w:rPr>
          <w:color w:val="000000"/>
        </w:rPr>
        <w:t>1</w:t>
      </w:r>
      <w:r w:rsidR="00EA5F45">
        <w:rPr>
          <w:color w:val="000000"/>
        </w:rPr>
        <w:t>)</w:t>
      </w:r>
      <w:r w:rsidRPr="00A37714">
        <w:rPr>
          <w:color w:val="000000"/>
        </w:rPr>
        <w:t> </w:t>
      </w:r>
    </w:p>
    <w:p w14:paraId="7E82ACF9" w14:textId="6F015764" w:rsidR="00A62447" w:rsidRPr="00700DF2" w:rsidRDefault="00A37714" w:rsidP="00B408C5">
      <w:pPr>
        <w:spacing w:before="100" w:beforeAutospacing="1" w:after="100" w:afterAutospacing="1"/>
        <w:rPr>
          <w:color w:val="000000" w:themeColor="text1"/>
        </w:rPr>
      </w:pPr>
      <w:r w:rsidRPr="00700DF2">
        <w:rPr>
          <w:color w:val="000000" w:themeColor="text1"/>
        </w:rPr>
        <w:br/>
      </w:r>
      <w:r w:rsidR="00D162EE" w:rsidRPr="00700DF2">
        <w:rPr>
          <w:color w:val="000000" w:themeColor="text1"/>
        </w:rPr>
        <w:t>The</w:t>
      </w:r>
      <w:r w:rsidR="00B3258E" w:rsidRPr="00700DF2">
        <w:rPr>
          <w:color w:val="000000" w:themeColor="text1"/>
        </w:rPr>
        <w:t xml:space="preserve"> negative outcome of th</w:t>
      </w:r>
      <w:r w:rsidR="00D162EE" w:rsidRPr="00700DF2">
        <w:rPr>
          <w:color w:val="000000" w:themeColor="text1"/>
        </w:rPr>
        <w:t>e</w:t>
      </w:r>
      <w:r w:rsidR="00B3258E" w:rsidRPr="00700DF2">
        <w:rPr>
          <w:color w:val="000000" w:themeColor="text1"/>
        </w:rPr>
        <w:t xml:space="preserve"> trend</w:t>
      </w:r>
      <w:r w:rsidR="00D162EE" w:rsidRPr="00700DF2">
        <w:rPr>
          <w:color w:val="000000" w:themeColor="text1"/>
        </w:rPr>
        <w:t xml:space="preserve"> of </w:t>
      </w:r>
      <w:proofErr w:type="spellStart"/>
      <w:r w:rsidR="00D162EE" w:rsidRPr="00700DF2">
        <w:rPr>
          <w:color w:val="000000" w:themeColor="text1"/>
        </w:rPr>
        <w:t>neoliberalisation</w:t>
      </w:r>
      <w:proofErr w:type="spellEnd"/>
      <w:r w:rsidR="00D162EE" w:rsidRPr="00700DF2">
        <w:rPr>
          <w:color w:val="000000" w:themeColor="text1"/>
        </w:rPr>
        <w:t xml:space="preserve"> of the art</w:t>
      </w:r>
      <w:r w:rsidR="00700DF2" w:rsidRPr="00700DF2">
        <w:rPr>
          <w:color w:val="000000" w:themeColor="text1"/>
        </w:rPr>
        <w:t xml:space="preserve"> </w:t>
      </w:r>
      <w:r w:rsidR="00D162EE" w:rsidRPr="00700DF2">
        <w:rPr>
          <w:color w:val="000000" w:themeColor="text1"/>
        </w:rPr>
        <w:t>schools</w:t>
      </w:r>
      <w:r w:rsidR="00B3258E" w:rsidRPr="00700DF2">
        <w:rPr>
          <w:color w:val="000000" w:themeColor="text1"/>
        </w:rPr>
        <w:t xml:space="preserve"> is </w:t>
      </w:r>
      <w:r w:rsidR="00483A3E" w:rsidRPr="00700DF2">
        <w:rPr>
          <w:color w:val="000000" w:themeColor="text1"/>
        </w:rPr>
        <w:t>summed up</w:t>
      </w:r>
      <w:r w:rsidR="00B3258E" w:rsidRPr="00700DF2">
        <w:rPr>
          <w:color w:val="000000" w:themeColor="text1"/>
        </w:rPr>
        <w:t xml:space="preserve"> by</w:t>
      </w:r>
    </w:p>
    <w:p w14:paraId="69C49BB6" w14:textId="452383C3" w:rsidR="00B3258E" w:rsidRPr="00700DF2" w:rsidRDefault="00B3258E" w:rsidP="00B408C5">
      <w:pPr>
        <w:spacing w:before="100" w:beforeAutospacing="1" w:after="100" w:afterAutospacing="1"/>
        <w:rPr>
          <w:color w:val="000000" w:themeColor="text1"/>
        </w:rPr>
      </w:pPr>
      <w:r w:rsidRPr="00700DF2">
        <w:rPr>
          <w:color w:val="000000" w:themeColor="text1"/>
        </w:rPr>
        <w:t xml:space="preserve"> Andrew McGettigan (2015: 2):</w:t>
      </w:r>
    </w:p>
    <w:p w14:paraId="493344BD" w14:textId="6564774C" w:rsidR="00B3258E" w:rsidRPr="00700DF2" w:rsidRDefault="00B3258E" w:rsidP="00064AFE">
      <w:pPr>
        <w:ind w:left="720"/>
        <w:rPr>
          <w:color w:val="000000" w:themeColor="text1"/>
        </w:rPr>
      </w:pPr>
      <w:r w:rsidRPr="00700DF2">
        <w:rPr>
          <w:color w:val="000000" w:themeColor="text1"/>
        </w:rPr>
        <w:lastRenderedPageBreak/>
        <w:t>The focus of</w:t>
      </w:r>
      <w:r w:rsidR="003239F7" w:rsidRPr="00700DF2">
        <w:rPr>
          <w:color w:val="000000" w:themeColor="text1"/>
        </w:rPr>
        <w:t xml:space="preserve"> (neoliberal)</w:t>
      </w:r>
      <w:r w:rsidRPr="00700DF2">
        <w:rPr>
          <w:color w:val="000000" w:themeColor="text1"/>
        </w:rPr>
        <w:t xml:space="preserve"> policy has been the transformation of higher education into the private good of training and the positional good of opportunity, where the returns on both are higher earnings. Initiation into the production and dissemination of public knowledge? It does not appear to be a concern of current policy.</w:t>
      </w:r>
    </w:p>
    <w:p w14:paraId="2348293A" w14:textId="77777777" w:rsidR="00B3258E" w:rsidRDefault="00B3258E" w:rsidP="00B3258E">
      <w:pPr>
        <w:ind w:left="720"/>
        <w:rPr>
          <w:color w:val="0070C0"/>
        </w:rPr>
      </w:pPr>
    </w:p>
    <w:p w14:paraId="37EB548A" w14:textId="5E21E087" w:rsidR="009859F0" w:rsidRDefault="00B3258E" w:rsidP="009859F0">
      <w:pPr>
        <w:pStyle w:val="BodyText"/>
      </w:pPr>
      <w:r>
        <w:t>T</w:t>
      </w:r>
      <w:r w:rsidR="000800B6">
        <w:t>he impositions upon the a</w:t>
      </w:r>
      <w:r w:rsidR="00B33950">
        <w:t>rt</w:t>
      </w:r>
      <w:r w:rsidR="00700DF2">
        <w:t xml:space="preserve"> </w:t>
      </w:r>
      <w:r w:rsidR="00B33950">
        <w:t>school</w:t>
      </w:r>
      <w:r w:rsidR="000800B6">
        <w:t xml:space="preserve"> curriculum influenced by</w:t>
      </w:r>
      <w:r w:rsidR="006311AA">
        <w:t xml:space="preserve"> </w:t>
      </w:r>
      <w:r w:rsidR="000D1390">
        <w:t xml:space="preserve"> neoliberal policies</w:t>
      </w:r>
      <w:r w:rsidR="000800B6">
        <w:t xml:space="preserve"> </w:t>
      </w:r>
      <w:r w:rsidR="000D1390">
        <w:t>ha</w:t>
      </w:r>
      <w:r w:rsidR="000800B6">
        <w:t>ve</w:t>
      </w:r>
      <w:r w:rsidR="000D1390">
        <w:t xml:space="preserve"> resulted in students’ aspirations being </w:t>
      </w:r>
      <w:r w:rsidR="00FC5A5C">
        <w:t>diverted</w:t>
      </w:r>
      <w:r w:rsidR="00E90BDF">
        <w:t xml:space="preserve"> from intellectual inquiry</w:t>
      </w:r>
      <w:r w:rsidR="000D1390">
        <w:t xml:space="preserve"> towards competitive enterprise, to the point where they</w:t>
      </w:r>
      <w:r w:rsidR="009859F0">
        <w:t xml:space="preserve"> are encouraged to</w:t>
      </w:r>
      <w:r w:rsidR="000D1390">
        <w:t xml:space="preserve"> assume as natural an entrepreneurial attitude, rather than a role of inquirer into the relationships between perceptual experiences and their visual communication.</w:t>
      </w:r>
      <w:r w:rsidR="00574C11">
        <w:t xml:space="preserve"> </w:t>
      </w:r>
      <w:r w:rsidR="009859F0">
        <w:t xml:space="preserve">Modules </w:t>
      </w:r>
      <w:r w:rsidR="00C14352">
        <w:t>labelled</w:t>
      </w:r>
      <w:r w:rsidR="007A3EE3">
        <w:t xml:space="preserve"> </w:t>
      </w:r>
      <w:r w:rsidR="00C14352">
        <w:rPr>
          <w:i/>
        </w:rPr>
        <w:t>p</w:t>
      </w:r>
      <w:r w:rsidR="009859F0">
        <w:rPr>
          <w:i/>
        </w:rPr>
        <w:t>rofessional</w:t>
      </w:r>
      <w:r w:rsidR="00C14352">
        <w:rPr>
          <w:i/>
        </w:rPr>
        <w:t xml:space="preserve"> p</w:t>
      </w:r>
      <w:r w:rsidR="009859F0">
        <w:rPr>
          <w:i/>
        </w:rPr>
        <w:t>ractice</w:t>
      </w:r>
      <w:r w:rsidR="009859F0">
        <w:t xml:space="preserve"> have come to be considered as </w:t>
      </w:r>
      <w:r w:rsidR="00291203" w:rsidRPr="003D17FF">
        <w:rPr>
          <w:color w:val="000000" w:themeColor="text1"/>
        </w:rPr>
        <w:t>paramount</w:t>
      </w:r>
      <w:r w:rsidR="009859F0">
        <w:t xml:space="preserve"> in the education of visual artists. In contemporary usage, the term refers to the acquisition and application of skills and attitudes deemed useful in negotiating a competitive market economy, for example, business acumen and strategies for self-promotion.  These, it is argued, are necessary for successful visual arts practice in what is commonly referred to as the ‘real world’, a term which describes one particular construction of reality in which visual </w:t>
      </w:r>
      <w:r w:rsidR="00DF6B92">
        <w:t>inquiry</w:t>
      </w:r>
      <w:r w:rsidR="009859F0">
        <w:t xml:space="preserve"> is usurped by commodity aesthetics.</w:t>
      </w:r>
    </w:p>
    <w:p w14:paraId="75262CB0" w14:textId="698FD5FE" w:rsidR="00A669A6" w:rsidRPr="00D03C89" w:rsidRDefault="004D7693" w:rsidP="00A669A6">
      <w:pPr>
        <w:spacing w:line="480" w:lineRule="auto"/>
        <w:rPr>
          <w:color w:val="000000" w:themeColor="text1"/>
        </w:rPr>
      </w:pPr>
      <w:r w:rsidRPr="00D03C89">
        <w:rPr>
          <w:color w:val="000000" w:themeColor="text1"/>
        </w:rPr>
        <w:t>T</w:t>
      </w:r>
      <w:r w:rsidR="00064AFE" w:rsidRPr="00D03C89">
        <w:rPr>
          <w:color w:val="000000" w:themeColor="text1"/>
        </w:rPr>
        <w:t>his situation at the tertiary level, where proficiency in drawing is</w:t>
      </w:r>
      <w:r w:rsidR="00DE63ED" w:rsidRPr="00D03C89">
        <w:rPr>
          <w:color w:val="000000" w:themeColor="text1"/>
        </w:rPr>
        <w:t xml:space="preserve"> reported as</w:t>
      </w:r>
      <w:r w:rsidR="00064AFE" w:rsidRPr="00D03C89">
        <w:rPr>
          <w:color w:val="000000" w:themeColor="text1"/>
        </w:rPr>
        <w:t xml:space="preserve"> noticeably </w:t>
      </w:r>
      <w:r w:rsidR="00DE63ED" w:rsidRPr="00D03C89">
        <w:rPr>
          <w:color w:val="000000" w:themeColor="text1"/>
        </w:rPr>
        <w:t>reduced</w:t>
      </w:r>
      <w:r w:rsidR="00B4278E" w:rsidRPr="00D03C89">
        <w:rPr>
          <w:color w:val="000000" w:themeColor="text1"/>
        </w:rPr>
        <w:t xml:space="preserve"> (</w:t>
      </w:r>
      <w:r w:rsidR="00970DDA" w:rsidRPr="00D03C89">
        <w:rPr>
          <w:color w:val="000000" w:themeColor="text1"/>
        </w:rPr>
        <w:t>Fava</w:t>
      </w:r>
      <w:r w:rsidR="00761BBF" w:rsidRPr="00D03C89">
        <w:rPr>
          <w:color w:val="000000" w:themeColor="text1"/>
        </w:rPr>
        <w:t xml:space="preserve"> 2019</w:t>
      </w:r>
      <w:r w:rsidR="00970DDA" w:rsidRPr="00D03C89">
        <w:rPr>
          <w:color w:val="000000" w:themeColor="text1"/>
        </w:rPr>
        <w:t>)</w:t>
      </w:r>
      <w:r w:rsidR="00F3677D" w:rsidRPr="00D03C89">
        <w:rPr>
          <w:color w:val="000000" w:themeColor="text1"/>
        </w:rPr>
        <w:t>,</w:t>
      </w:r>
      <w:r w:rsidR="00064AFE" w:rsidRPr="00D03C89">
        <w:rPr>
          <w:color w:val="000000" w:themeColor="text1"/>
        </w:rPr>
        <w:t xml:space="preserve"> </w:t>
      </w:r>
      <w:r w:rsidR="0050734E" w:rsidRPr="00D03C89">
        <w:rPr>
          <w:color w:val="000000" w:themeColor="text1"/>
        </w:rPr>
        <w:t>is endemic in</w:t>
      </w:r>
      <w:r w:rsidR="00064AFE" w:rsidRPr="00D03C89">
        <w:rPr>
          <w:color w:val="000000" w:themeColor="text1"/>
        </w:rPr>
        <w:t xml:space="preserve"> the secondary schools</w:t>
      </w:r>
      <w:r w:rsidR="004D216D" w:rsidRPr="00D03C89">
        <w:rPr>
          <w:color w:val="000000" w:themeColor="text1"/>
        </w:rPr>
        <w:t>,</w:t>
      </w:r>
      <w:r w:rsidR="00064AFE" w:rsidRPr="00D03C89">
        <w:rPr>
          <w:color w:val="000000" w:themeColor="text1"/>
        </w:rPr>
        <w:t xml:space="preserve"> specifically</w:t>
      </w:r>
      <w:r w:rsidR="00B64B95" w:rsidRPr="00D03C89">
        <w:rPr>
          <w:color w:val="000000" w:themeColor="text1"/>
        </w:rPr>
        <w:t xml:space="preserve"> the effects of </w:t>
      </w:r>
      <w:r w:rsidR="00064AFE" w:rsidRPr="00D03C89">
        <w:rPr>
          <w:color w:val="000000" w:themeColor="text1"/>
        </w:rPr>
        <w:t>neoliberal</w:t>
      </w:r>
      <w:r w:rsidR="00B64B95" w:rsidRPr="00D03C89">
        <w:rPr>
          <w:color w:val="000000" w:themeColor="text1"/>
        </w:rPr>
        <w:t xml:space="preserve"> polic</w:t>
      </w:r>
      <w:r w:rsidRPr="00D03C89">
        <w:rPr>
          <w:color w:val="000000" w:themeColor="text1"/>
        </w:rPr>
        <w:t>ies</w:t>
      </w:r>
      <w:r w:rsidR="00B64B95" w:rsidRPr="00D03C89">
        <w:rPr>
          <w:color w:val="000000" w:themeColor="text1"/>
        </w:rPr>
        <w:t xml:space="preserve"> </w:t>
      </w:r>
      <w:r w:rsidR="00F3677D" w:rsidRPr="00D03C89">
        <w:rPr>
          <w:color w:val="000000" w:themeColor="text1"/>
        </w:rPr>
        <w:t>adopted by</w:t>
      </w:r>
      <w:r w:rsidR="00B64B95" w:rsidRPr="00D03C89">
        <w:rPr>
          <w:color w:val="000000" w:themeColor="text1"/>
        </w:rPr>
        <w:t xml:space="preserve"> the agencies responsible for quality assessment</w:t>
      </w:r>
      <w:r w:rsidR="007C7741" w:rsidRPr="00D03C89">
        <w:rPr>
          <w:color w:val="000000" w:themeColor="text1"/>
        </w:rPr>
        <w:t xml:space="preserve"> of the</w:t>
      </w:r>
      <w:r w:rsidR="004E25B2" w:rsidRPr="00D03C89">
        <w:rPr>
          <w:color w:val="000000" w:themeColor="text1"/>
        </w:rPr>
        <w:t xml:space="preserve"> ‘A’ level</w:t>
      </w:r>
      <w:r w:rsidR="007C7741" w:rsidRPr="00D03C89">
        <w:rPr>
          <w:color w:val="000000" w:themeColor="text1"/>
        </w:rPr>
        <w:t xml:space="preserve"> subject ‘Art’</w:t>
      </w:r>
      <w:r w:rsidRPr="00D03C89">
        <w:rPr>
          <w:color w:val="000000" w:themeColor="text1"/>
        </w:rPr>
        <w:t xml:space="preserve">. </w:t>
      </w:r>
      <w:r w:rsidR="00B64B95" w:rsidRPr="00D03C89">
        <w:rPr>
          <w:color w:val="000000" w:themeColor="text1"/>
        </w:rPr>
        <w:t xml:space="preserve">Recent </w:t>
      </w:r>
      <w:r w:rsidR="00521A1E" w:rsidRPr="00D03C89">
        <w:rPr>
          <w:color w:val="000000" w:themeColor="text1"/>
        </w:rPr>
        <w:t>articles</w:t>
      </w:r>
      <w:r w:rsidR="00B64B95" w:rsidRPr="00D03C89">
        <w:rPr>
          <w:color w:val="000000" w:themeColor="text1"/>
        </w:rPr>
        <w:t xml:space="preserve"> by Michelle Fava</w:t>
      </w:r>
      <w:r w:rsidR="003454AE" w:rsidRPr="00D03C89">
        <w:rPr>
          <w:color w:val="000000" w:themeColor="text1"/>
        </w:rPr>
        <w:t xml:space="preserve"> (</w:t>
      </w:r>
      <w:r w:rsidR="00814516" w:rsidRPr="00D03C89">
        <w:rPr>
          <w:color w:val="000000" w:themeColor="text1"/>
        </w:rPr>
        <w:t>2011</w:t>
      </w:r>
      <w:r w:rsidR="005F5BBB" w:rsidRPr="00D03C89">
        <w:rPr>
          <w:color w:val="000000" w:themeColor="text1"/>
        </w:rPr>
        <w:t xml:space="preserve">, </w:t>
      </w:r>
      <w:r w:rsidR="00761BBF" w:rsidRPr="00D03C89">
        <w:rPr>
          <w:color w:val="000000" w:themeColor="text1"/>
        </w:rPr>
        <w:t>2019</w:t>
      </w:r>
      <w:r w:rsidR="003454AE" w:rsidRPr="00D03C89">
        <w:rPr>
          <w:color w:val="000000" w:themeColor="text1"/>
        </w:rPr>
        <w:t>) and</w:t>
      </w:r>
      <w:r w:rsidR="00B64B95" w:rsidRPr="00D03C89">
        <w:rPr>
          <w:color w:val="000000" w:themeColor="text1"/>
        </w:rPr>
        <w:t xml:space="preserve"> </w:t>
      </w:r>
      <w:r w:rsidR="003454AE" w:rsidRPr="00D03C89">
        <w:rPr>
          <w:color w:val="000000" w:themeColor="text1"/>
        </w:rPr>
        <w:t xml:space="preserve">Chris </w:t>
      </w:r>
      <w:r w:rsidR="00B64B95" w:rsidRPr="00D03C89">
        <w:rPr>
          <w:color w:val="000000" w:themeColor="text1"/>
        </w:rPr>
        <w:t>Owen (</w:t>
      </w:r>
      <w:r w:rsidR="00E63BF9" w:rsidRPr="00D03C89">
        <w:rPr>
          <w:color w:val="000000" w:themeColor="text1"/>
        </w:rPr>
        <w:t>2019</w:t>
      </w:r>
      <w:r w:rsidR="003454AE" w:rsidRPr="00D03C89">
        <w:rPr>
          <w:color w:val="000000" w:themeColor="text1"/>
        </w:rPr>
        <w:t xml:space="preserve">) trace the </w:t>
      </w:r>
      <w:r w:rsidR="00B64B95" w:rsidRPr="00D03C89">
        <w:rPr>
          <w:color w:val="000000" w:themeColor="text1"/>
        </w:rPr>
        <w:t>demise of drawing in schools</w:t>
      </w:r>
      <w:r w:rsidR="0073775F" w:rsidRPr="00D03C89">
        <w:rPr>
          <w:color w:val="000000" w:themeColor="text1"/>
        </w:rPr>
        <w:t xml:space="preserve"> in part</w:t>
      </w:r>
      <w:r w:rsidR="00B64B95" w:rsidRPr="00D03C89">
        <w:rPr>
          <w:color w:val="000000" w:themeColor="text1"/>
        </w:rPr>
        <w:t xml:space="preserve"> </w:t>
      </w:r>
      <w:r w:rsidR="003454AE" w:rsidRPr="00D03C89">
        <w:rPr>
          <w:color w:val="000000" w:themeColor="text1"/>
        </w:rPr>
        <w:t>to</w:t>
      </w:r>
      <w:r w:rsidR="00491C56" w:rsidRPr="00D03C89">
        <w:rPr>
          <w:color w:val="000000" w:themeColor="text1"/>
        </w:rPr>
        <w:t xml:space="preserve"> accreditation agencies’</w:t>
      </w:r>
      <w:r w:rsidR="00B64B95" w:rsidRPr="00D03C89">
        <w:rPr>
          <w:color w:val="000000" w:themeColor="text1"/>
        </w:rPr>
        <w:t xml:space="preserve"> criteria which don’t </w:t>
      </w:r>
      <w:r w:rsidR="004505D6" w:rsidRPr="00D03C89">
        <w:rPr>
          <w:color w:val="000000" w:themeColor="text1"/>
        </w:rPr>
        <w:t>specify</w:t>
      </w:r>
      <w:r w:rsidR="00B64B95" w:rsidRPr="00D03C89">
        <w:rPr>
          <w:color w:val="000000" w:themeColor="text1"/>
        </w:rPr>
        <w:t xml:space="preserve"> </w:t>
      </w:r>
      <w:r w:rsidR="007355DC" w:rsidRPr="00D03C89">
        <w:rPr>
          <w:color w:val="000000" w:themeColor="text1"/>
        </w:rPr>
        <w:t xml:space="preserve">any assessment of </w:t>
      </w:r>
      <w:r w:rsidR="00B64B95" w:rsidRPr="00D03C89">
        <w:rPr>
          <w:color w:val="000000" w:themeColor="text1"/>
        </w:rPr>
        <w:t>drawing</w:t>
      </w:r>
      <w:r w:rsidR="007355DC" w:rsidRPr="00D03C89">
        <w:rPr>
          <w:color w:val="000000" w:themeColor="text1"/>
        </w:rPr>
        <w:t xml:space="preserve"> </w:t>
      </w:r>
      <w:r w:rsidR="007355DC" w:rsidRPr="00D03C89">
        <w:rPr>
          <w:i/>
          <w:color w:val="000000" w:themeColor="text1"/>
        </w:rPr>
        <w:t>per se</w:t>
      </w:r>
      <w:r w:rsidR="00A85FE3" w:rsidRPr="00D03C89">
        <w:rPr>
          <w:color w:val="000000" w:themeColor="text1"/>
        </w:rPr>
        <w:t xml:space="preserve">, but instead </w:t>
      </w:r>
      <w:r w:rsidR="007355DC" w:rsidRPr="00D03C89">
        <w:rPr>
          <w:color w:val="000000" w:themeColor="text1"/>
        </w:rPr>
        <w:t xml:space="preserve">tacitly </w:t>
      </w:r>
      <w:r w:rsidR="00A85FE3" w:rsidRPr="00D03C89">
        <w:rPr>
          <w:color w:val="000000" w:themeColor="text1"/>
        </w:rPr>
        <w:t xml:space="preserve">condone </w:t>
      </w:r>
      <w:r w:rsidR="00CD4981" w:rsidRPr="00D03C89">
        <w:rPr>
          <w:color w:val="000000" w:themeColor="text1"/>
        </w:rPr>
        <w:t>digitally-based</w:t>
      </w:r>
      <w:r w:rsidR="00A85FE3" w:rsidRPr="00D03C89">
        <w:rPr>
          <w:color w:val="000000" w:themeColor="text1"/>
        </w:rPr>
        <w:t xml:space="preserve"> </w:t>
      </w:r>
      <w:r w:rsidR="00CD4981" w:rsidRPr="00D03C89">
        <w:rPr>
          <w:color w:val="000000" w:themeColor="text1"/>
        </w:rPr>
        <w:t xml:space="preserve">imaging </w:t>
      </w:r>
      <w:r w:rsidR="00A85FE3" w:rsidRPr="00D03C89">
        <w:rPr>
          <w:color w:val="000000" w:themeColor="text1"/>
        </w:rPr>
        <w:t xml:space="preserve">technologies to provide evidence of </w:t>
      </w:r>
      <w:r w:rsidR="004505D6" w:rsidRPr="00D03C89">
        <w:rPr>
          <w:color w:val="000000" w:themeColor="text1"/>
        </w:rPr>
        <w:t>‘</w:t>
      </w:r>
      <w:r w:rsidR="00A85FE3" w:rsidRPr="00D03C89">
        <w:rPr>
          <w:color w:val="000000" w:themeColor="text1"/>
        </w:rPr>
        <w:t>visual research</w:t>
      </w:r>
      <w:r w:rsidR="004505D6" w:rsidRPr="00D03C89">
        <w:rPr>
          <w:color w:val="000000" w:themeColor="text1"/>
        </w:rPr>
        <w:t>’</w:t>
      </w:r>
      <w:r w:rsidR="00E90BDF" w:rsidRPr="00D03C89">
        <w:rPr>
          <w:color w:val="000000" w:themeColor="text1"/>
        </w:rPr>
        <w:t xml:space="preserve"> in the students’ activities</w:t>
      </w:r>
      <w:r w:rsidR="00A85FE3" w:rsidRPr="00D03C89">
        <w:rPr>
          <w:color w:val="000000" w:themeColor="text1"/>
        </w:rPr>
        <w:t xml:space="preserve">. The built-in algorithms of such technologies automatise </w:t>
      </w:r>
      <w:r w:rsidR="002C4246" w:rsidRPr="00D03C89">
        <w:rPr>
          <w:color w:val="000000" w:themeColor="text1"/>
        </w:rPr>
        <w:t xml:space="preserve">a </w:t>
      </w:r>
      <w:r w:rsidR="00A85FE3" w:rsidRPr="00D03C89">
        <w:rPr>
          <w:color w:val="000000" w:themeColor="text1"/>
        </w:rPr>
        <w:t>crucial</w:t>
      </w:r>
      <w:r w:rsidR="00720448" w:rsidRPr="00D03C89">
        <w:rPr>
          <w:color w:val="000000" w:themeColor="text1"/>
        </w:rPr>
        <w:t xml:space="preserve"> transformation</w:t>
      </w:r>
      <w:r w:rsidR="00CD4981" w:rsidRPr="00D03C89">
        <w:rPr>
          <w:color w:val="000000" w:themeColor="text1"/>
        </w:rPr>
        <w:t>, by-passing a function of an intelligence of seeing;</w:t>
      </w:r>
      <w:r w:rsidR="00720448" w:rsidRPr="00D03C89">
        <w:rPr>
          <w:color w:val="000000" w:themeColor="text1"/>
        </w:rPr>
        <w:t xml:space="preserve"> the</w:t>
      </w:r>
      <w:r w:rsidR="00A85FE3" w:rsidRPr="00D03C89">
        <w:rPr>
          <w:color w:val="000000" w:themeColor="text1"/>
        </w:rPr>
        <w:t xml:space="preserve"> process  of finding graphic equivalents for perceptual experiences</w:t>
      </w:r>
      <w:r w:rsidR="00A603F3" w:rsidRPr="00D03C89">
        <w:rPr>
          <w:color w:val="000000" w:themeColor="text1"/>
        </w:rPr>
        <w:t>, for which drawing is best suited.</w:t>
      </w:r>
      <w:r w:rsidR="00A85FE3" w:rsidRPr="00D03C89">
        <w:rPr>
          <w:color w:val="000000" w:themeColor="text1"/>
        </w:rPr>
        <w:t xml:space="preserve"> The pressure on teachers to deliver </w:t>
      </w:r>
      <w:r w:rsidR="003A263D" w:rsidRPr="00D03C89">
        <w:rPr>
          <w:color w:val="000000" w:themeColor="text1"/>
        </w:rPr>
        <w:t xml:space="preserve">consistent high grades in limited time </w:t>
      </w:r>
      <w:r w:rsidR="004505D6" w:rsidRPr="00D03C89">
        <w:rPr>
          <w:color w:val="000000" w:themeColor="text1"/>
        </w:rPr>
        <w:t>diminishes</w:t>
      </w:r>
      <w:r w:rsidR="003A263D" w:rsidRPr="00D03C89">
        <w:rPr>
          <w:color w:val="000000" w:themeColor="text1"/>
        </w:rPr>
        <w:t xml:space="preserve"> any</w:t>
      </w:r>
      <w:r w:rsidR="00B64B95" w:rsidRPr="00D03C89">
        <w:rPr>
          <w:color w:val="000000" w:themeColor="text1"/>
        </w:rPr>
        <w:t xml:space="preserve"> incentive for t</w:t>
      </w:r>
      <w:r w:rsidR="007C7741" w:rsidRPr="00D03C89">
        <w:rPr>
          <w:color w:val="000000" w:themeColor="text1"/>
        </w:rPr>
        <w:t>hem</w:t>
      </w:r>
      <w:r w:rsidR="00B64B95" w:rsidRPr="00D03C89">
        <w:rPr>
          <w:color w:val="000000" w:themeColor="text1"/>
        </w:rPr>
        <w:t xml:space="preserve"> to </w:t>
      </w:r>
      <w:r w:rsidR="003A263D" w:rsidRPr="00D03C89">
        <w:rPr>
          <w:color w:val="000000" w:themeColor="text1"/>
        </w:rPr>
        <w:t>nurture an intelligence of seeing</w:t>
      </w:r>
      <w:r w:rsidR="007355DC" w:rsidRPr="00D03C89">
        <w:rPr>
          <w:color w:val="000000" w:themeColor="text1"/>
        </w:rPr>
        <w:t xml:space="preserve"> </w:t>
      </w:r>
      <w:r w:rsidR="003A263D" w:rsidRPr="00D03C89">
        <w:rPr>
          <w:color w:val="000000" w:themeColor="text1"/>
        </w:rPr>
        <w:t>in their students.</w:t>
      </w:r>
      <w:r w:rsidR="00B64B95" w:rsidRPr="00D03C89">
        <w:rPr>
          <w:color w:val="000000" w:themeColor="text1"/>
        </w:rPr>
        <w:t xml:space="preserve"> </w:t>
      </w:r>
    </w:p>
    <w:p w14:paraId="58A8CF59" w14:textId="77777777" w:rsidR="008E4A8A" w:rsidRDefault="008E4A8A" w:rsidP="0018437D">
      <w:pPr>
        <w:rPr>
          <w:b/>
        </w:rPr>
      </w:pPr>
    </w:p>
    <w:p w14:paraId="3F208EC7" w14:textId="408ECDEE" w:rsidR="00DC3740" w:rsidRPr="001868ED" w:rsidRDefault="00CA4B13" w:rsidP="00E45D52">
      <w:pPr>
        <w:spacing w:line="480" w:lineRule="auto"/>
      </w:pPr>
      <w:r w:rsidRPr="001868ED">
        <w:t xml:space="preserve">In a recent article, </w:t>
      </w:r>
      <w:r w:rsidR="00DC3740" w:rsidRPr="001868ED">
        <w:t xml:space="preserve">Deanna </w:t>
      </w:r>
      <w:proofErr w:type="spellStart"/>
      <w:r w:rsidR="00DC3740" w:rsidRPr="001868ED">
        <w:t>Petherbridge</w:t>
      </w:r>
      <w:proofErr w:type="spellEnd"/>
      <w:r w:rsidRPr="001868ED">
        <w:t xml:space="preserve"> (2019),</w:t>
      </w:r>
      <w:r w:rsidR="00DC3740" w:rsidRPr="001868ED">
        <w:t xml:space="preserve"> Professor of Drawing at the Royal College of Art 199</w:t>
      </w:r>
      <w:r w:rsidR="00D26296" w:rsidRPr="001868ED">
        <w:t>5</w:t>
      </w:r>
      <w:r w:rsidR="00DC3740" w:rsidRPr="001868ED">
        <w:t>-2001, relates an anecdote</w:t>
      </w:r>
      <w:r w:rsidR="00B0658A" w:rsidRPr="001868ED">
        <w:t xml:space="preserve"> from th</w:t>
      </w:r>
      <w:r w:rsidR="00774D53" w:rsidRPr="001868ED">
        <w:t>at</w:t>
      </w:r>
      <w:r w:rsidR="00B0658A" w:rsidRPr="001868ED">
        <w:t xml:space="preserve"> period</w:t>
      </w:r>
      <w:r w:rsidR="00DC3740" w:rsidRPr="001868ED">
        <w:t xml:space="preserve"> about a </w:t>
      </w:r>
      <w:r w:rsidR="005D6B66" w:rsidRPr="001868ED">
        <w:t>‘</w:t>
      </w:r>
      <w:r w:rsidR="00DC3740" w:rsidRPr="001868ED">
        <w:t>…careless madness</w:t>
      </w:r>
      <w:r w:rsidR="005D6B66" w:rsidRPr="001868ED">
        <w:t>’</w:t>
      </w:r>
      <w:r w:rsidR="00DC3740" w:rsidRPr="001868ED">
        <w:t xml:space="preserve"> to do with attitudes towards the teaching of drawing:</w:t>
      </w:r>
    </w:p>
    <w:p w14:paraId="62E1515B" w14:textId="74F266AF" w:rsidR="00DC3740" w:rsidRPr="001868ED" w:rsidRDefault="00DC3740" w:rsidP="00DC3740">
      <w:pPr>
        <w:ind w:left="720"/>
      </w:pPr>
      <w:r w:rsidRPr="001868ED">
        <w:t>That madness stems from a profound late twentieth-century belief, still prevalent today, that drawing is an entirely individual practice shaped by individual ownership but so free floating that it requires no reference to any larger discourse. That is, drawing can be anything that any artist, art teacher, or museum educator cares to make of it…</w:t>
      </w:r>
    </w:p>
    <w:p w14:paraId="125A356C" w14:textId="5E73DBB8" w:rsidR="00DC3740" w:rsidRPr="001868ED" w:rsidRDefault="00DC3740">
      <w:pPr>
        <w:ind w:left="720"/>
      </w:pPr>
      <w:r w:rsidRPr="001868ED">
        <w:t>(</w:t>
      </w:r>
      <w:proofErr w:type="spellStart"/>
      <w:r w:rsidRPr="001868ED">
        <w:t>Petherbridge</w:t>
      </w:r>
      <w:proofErr w:type="spellEnd"/>
      <w:r w:rsidRPr="001868ED">
        <w:t xml:space="preserve"> 2019: 2)</w:t>
      </w:r>
    </w:p>
    <w:p w14:paraId="1DC10E91" w14:textId="125899A9" w:rsidR="00B0658A" w:rsidRPr="001868ED" w:rsidRDefault="00B0658A" w:rsidP="00B0658A"/>
    <w:p w14:paraId="70F9B8B6" w14:textId="77777777" w:rsidR="00922906" w:rsidRDefault="00B0658A">
      <w:pPr>
        <w:spacing w:line="480" w:lineRule="auto"/>
      </w:pPr>
      <w:r w:rsidRPr="001868ED">
        <w:t xml:space="preserve">A ‘madness’ still prevalent today, indeed! </w:t>
      </w:r>
      <w:r w:rsidR="00E45D52">
        <w:t>So, what of the present period</w:t>
      </w:r>
      <w:r w:rsidR="002F62A2">
        <w:t>?</w:t>
      </w:r>
      <w:r w:rsidR="00C03547">
        <w:t xml:space="preserve"> </w:t>
      </w:r>
    </w:p>
    <w:p w14:paraId="00ED2C85" w14:textId="0B0A7AD0" w:rsidR="00286954" w:rsidRPr="00D53DFB" w:rsidRDefault="005B3EB8">
      <w:pPr>
        <w:spacing w:line="480" w:lineRule="auto"/>
        <w:rPr>
          <w:color w:val="000000" w:themeColor="text1"/>
        </w:rPr>
      </w:pPr>
      <w:r>
        <w:t>A</w:t>
      </w:r>
      <w:r w:rsidR="00E45D52">
        <w:t xml:space="preserve"> </w:t>
      </w:r>
      <w:r w:rsidR="00960F82">
        <w:t>‘</w:t>
      </w:r>
      <w:r w:rsidR="00E45D52">
        <w:t>post-Postmodernist</w:t>
      </w:r>
      <w:r w:rsidR="00960F82">
        <w:t>’</w:t>
      </w:r>
      <w:r w:rsidR="00E45D52">
        <w:t xml:space="preserve"> time, one that has been identified as ‘Alter-modernism</w:t>
      </w:r>
      <w:r w:rsidR="00E45D52" w:rsidRPr="00750CB9">
        <w:rPr>
          <w:color w:val="000000" w:themeColor="text1"/>
        </w:rPr>
        <w:t>’</w:t>
      </w:r>
      <w:r w:rsidR="00766AC4">
        <w:rPr>
          <w:color w:val="000000" w:themeColor="text1"/>
          <w:vertAlign w:val="superscript"/>
        </w:rPr>
        <w:t>4</w:t>
      </w:r>
      <w:r w:rsidR="00E45D52" w:rsidRPr="00420241">
        <w:rPr>
          <w:color w:val="000000" w:themeColor="text1"/>
        </w:rPr>
        <w:t xml:space="preserve"> </w:t>
      </w:r>
      <w:r w:rsidR="00E45D52">
        <w:t xml:space="preserve"> in whic</w:t>
      </w:r>
      <w:r w:rsidR="00E17645">
        <w:t>h</w:t>
      </w:r>
      <w:r w:rsidR="00E45D52">
        <w:t xml:space="preserve"> </w:t>
      </w:r>
      <w:r w:rsidR="00AD20CA">
        <w:t>the art</w:t>
      </w:r>
      <w:r w:rsidR="00700DF2">
        <w:t xml:space="preserve"> </w:t>
      </w:r>
      <w:r w:rsidR="00AD20CA">
        <w:t>schools’</w:t>
      </w:r>
      <w:r w:rsidR="00A5318B">
        <w:t xml:space="preserve"> </w:t>
      </w:r>
      <w:r w:rsidR="00C019BE">
        <w:t>administrative</w:t>
      </w:r>
      <w:r w:rsidR="00A5318B">
        <w:t xml:space="preserve"> </w:t>
      </w:r>
      <w:r w:rsidR="00342695">
        <w:t>responsibilities</w:t>
      </w:r>
      <w:r w:rsidR="00C03547">
        <w:t xml:space="preserve"> (marketing, recruitment, retention</w:t>
      </w:r>
      <w:r w:rsidR="000D0647" w:rsidRPr="00A40D38">
        <w:rPr>
          <w:color w:val="000000" w:themeColor="text1"/>
        </w:rPr>
        <w:t xml:space="preserve"> rates</w:t>
      </w:r>
      <w:r w:rsidR="00C03547">
        <w:t xml:space="preserve">, </w:t>
      </w:r>
      <w:r w:rsidR="009F7499">
        <w:t>even</w:t>
      </w:r>
      <w:r w:rsidR="00B84EA8">
        <w:t xml:space="preserve"> the</w:t>
      </w:r>
      <w:r w:rsidR="009F7499">
        <w:t xml:space="preserve"> </w:t>
      </w:r>
      <w:r w:rsidR="00C03547">
        <w:t>monitoring</w:t>
      </w:r>
      <w:r w:rsidR="00C32F72">
        <w:t xml:space="preserve"> of</w:t>
      </w:r>
      <w:r w:rsidR="009F7499">
        <w:t xml:space="preserve"> foreign</w:t>
      </w:r>
      <w:r w:rsidR="00C03547">
        <w:t xml:space="preserve"> students</w:t>
      </w:r>
      <w:r w:rsidR="009F7499">
        <w:t>’</w:t>
      </w:r>
      <w:r w:rsidR="00C03547">
        <w:t xml:space="preserve"> movements)</w:t>
      </w:r>
      <w:r w:rsidR="00342695">
        <w:t xml:space="preserve"> are</w:t>
      </w:r>
      <w:r w:rsidR="00A5318B">
        <w:t xml:space="preserve"> </w:t>
      </w:r>
      <w:r w:rsidR="00342695">
        <w:t>offloaded</w:t>
      </w:r>
      <w:r w:rsidR="00A5318B">
        <w:t xml:space="preserve"> to academics</w:t>
      </w:r>
      <w:r w:rsidR="00B84EA8">
        <w:t xml:space="preserve">, who rightly regard their </w:t>
      </w:r>
      <w:r w:rsidR="008D737C">
        <w:t xml:space="preserve">prime </w:t>
      </w:r>
      <w:r w:rsidR="00B84EA8">
        <w:t>responsibilities to be the development</w:t>
      </w:r>
      <w:r w:rsidR="00C019BE">
        <w:t>,</w:t>
      </w:r>
      <w:r w:rsidR="00E66603">
        <w:t xml:space="preserve"> enhancement</w:t>
      </w:r>
      <w:r w:rsidR="00C019BE">
        <w:t xml:space="preserve"> and delivery</w:t>
      </w:r>
      <w:r w:rsidR="00B84EA8">
        <w:t xml:space="preserve"> of</w:t>
      </w:r>
      <w:r w:rsidR="00AD20CA">
        <w:t xml:space="preserve"> visually-based</w:t>
      </w:r>
      <w:r w:rsidR="00B84EA8">
        <w:t xml:space="preserve"> curricula informed by research activities</w:t>
      </w:r>
      <w:r w:rsidR="00C352ED">
        <w:t xml:space="preserve"> </w:t>
      </w:r>
      <w:r w:rsidR="00A5318B">
        <w:t>(</w:t>
      </w:r>
      <w:r w:rsidR="00C352ED">
        <w:t>Martin 2016</w:t>
      </w:r>
      <w:r w:rsidR="00A5318B">
        <w:t xml:space="preserve">: </w:t>
      </w:r>
      <w:r w:rsidR="001C70F5">
        <w:t>2</w:t>
      </w:r>
      <w:r w:rsidR="00C352ED">
        <w:t>)</w:t>
      </w:r>
      <w:r w:rsidR="00087893">
        <w:t>.</w:t>
      </w:r>
      <w:r w:rsidR="00CA30A2" w:rsidRPr="00CA30A2">
        <w:rPr>
          <w:color w:val="0070C0"/>
        </w:rPr>
        <w:t xml:space="preserve"> </w:t>
      </w:r>
      <w:r w:rsidR="00323474" w:rsidRPr="00D53DFB">
        <w:rPr>
          <w:color w:val="000000" w:themeColor="text1"/>
        </w:rPr>
        <w:t>The assumption of a</w:t>
      </w:r>
      <w:r w:rsidR="00AD20CA" w:rsidRPr="00D53DFB">
        <w:rPr>
          <w:color w:val="000000" w:themeColor="text1"/>
        </w:rPr>
        <w:t>n art</w:t>
      </w:r>
      <w:r w:rsidR="00700DF2">
        <w:rPr>
          <w:color w:val="000000" w:themeColor="text1"/>
        </w:rPr>
        <w:t xml:space="preserve"> </w:t>
      </w:r>
      <w:r w:rsidR="005F71EA">
        <w:rPr>
          <w:color w:val="000000" w:themeColor="text1"/>
        </w:rPr>
        <w:t>school</w:t>
      </w:r>
      <w:r w:rsidR="002F5A75" w:rsidRPr="00D53DFB">
        <w:rPr>
          <w:color w:val="000000" w:themeColor="text1"/>
        </w:rPr>
        <w:t xml:space="preserve"> </w:t>
      </w:r>
      <w:r w:rsidR="00323474" w:rsidRPr="00D53DFB">
        <w:rPr>
          <w:color w:val="000000" w:themeColor="text1"/>
        </w:rPr>
        <w:t>education being aligned</w:t>
      </w:r>
      <w:r w:rsidR="00FA50A2" w:rsidRPr="00D53DFB">
        <w:rPr>
          <w:color w:val="000000" w:themeColor="text1"/>
        </w:rPr>
        <w:t xml:space="preserve"> primarily</w:t>
      </w:r>
      <w:r w:rsidR="00323474" w:rsidRPr="00D53DFB">
        <w:rPr>
          <w:color w:val="000000" w:themeColor="text1"/>
        </w:rPr>
        <w:t xml:space="preserve"> with students’ individual prospects of higher-paid employment, rather than a potential source of knowledge leading to a common social good</w:t>
      </w:r>
      <w:r w:rsidR="005736D4" w:rsidRPr="00D53DFB">
        <w:rPr>
          <w:color w:val="000000" w:themeColor="text1"/>
        </w:rPr>
        <w:t>,</w:t>
      </w:r>
      <w:r w:rsidR="00323474" w:rsidRPr="00D53DFB">
        <w:rPr>
          <w:color w:val="000000" w:themeColor="text1"/>
        </w:rPr>
        <w:t xml:space="preserve"> is </w:t>
      </w:r>
      <w:r w:rsidRPr="00D53DFB">
        <w:rPr>
          <w:color w:val="000000" w:themeColor="text1"/>
        </w:rPr>
        <w:t>a consequence</w:t>
      </w:r>
      <w:r w:rsidR="00323474" w:rsidRPr="00D53DFB">
        <w:rPr>
          <w:color w:val="000000" w:themeColor="text1"/>
        </w:rPr>
        <w:t xml:space="preserve"> of the neoliberal policies mentioned earlier</w:t>
      </w:r>
      <w:r w:rsidR="005736D4" w:rsidRPr="00D53DFB">
        <w:rPr>
          <w:color w:val="000000" w:themeColor="text1"/>
        </w:rPr>
        <w:t>.</w:t>
      </w:r>
      <w:r w:rsidR="00323474" w:rsidRPr="00D53DFB">
        <w:rPr>
          <w:color w:val="000000" w:themeColor="text1"/>
        </w:rPr>
        <w:t xml:space="preserve"> </w:t>
      </w:r>
      <w:r w:rsidR="005736D4" w:rsidRPr="00D53DFB">
        <w:rPr>
          <w:color w:val="000000" w:themeColor="text1"/>
        </w:rPr>
        <w:t xml:space="preserve"> </w:t>
      </w:r>
      <w:r w:rsidR="00323474" w:rsidRPr="00D53DFB">
        <w:rPr>
          <w:color w:val="000000" w:themeColor="text1"/>
        </w:rPr>
        <w:t>By 20</w:t>
      </w:r>
      <w:r w:rsidR="00524F5F" w:rsidRPr="00D53DFB">
        <w:rPr>
          <w:color w:val="000000" w:themeColor="text1"/>
        </w:rPr>
        <w:t>10</w:t>
      </w:r>
      <w:r w:rsidR="00323474" w:rsidRPr="00D53DFB">
        <w:rPr>
          <w:color w:val="000000" w:themeColor="text1"/>
        </w:rPr>
        <w:t xml:space="preserve"> a  </w:t>
      </w:r>
      <w:r w:rsidRPr="00D53DFB">
        <w:rPr>
          <w:color w:val="000000" w:themeColor="text1"/>
        </w:rPr>
        <w:t>‘</w:t>
      </w:r>
      <w:r w:rsidR="00323474" w:rsidRPr="00D53DFB">
        <w:rPr>
          <w:color w:val="000000" w:themeColor="text1"/>
        </w:rPr>
        <w:t>…vision for a more entrepreneurial higher education sector</w:t>
      </w:r>
      <w:r w:rsidRPr="00D53DFB">
        <w:rPr>
          <w:color w:val="000000" w:themeColor="text1"/>
        </w:rPr>
        <w:t>’</w:t>
      </w:r>
      <w:r w:rsidR="00323474" w:rsidRPr="00D53DFB">
        <w:rPr>
          <w:color w:val="000000" w:themeColor="text1"/>
        </w:rPr>
        <w:t xml:space="preserve"> (McGettigan 2013: 20) </w:t>
      </w:r>
      <w:r w:rsidR="00E66603" w:rsidRPr="00D53DFB">
        <w:rPr>
          <w:color w:val="000000" w:themeColor="text1"/>
        </w:rPr>
        <w:t xml:space="preserve">had </w:t>
      </w:r>
      <w:r w:rsidR="00323474" w:rsidRPr="00D53DFB">
        <w:rPr>
          <w:color w:val="000000" w:themeColor="text1"/>
        </w:rPr>
        <w:t xml:space="preserve">resulted in legislation </w:t>
      </w:r>
      <w:r w:rsidR="00E561EA" w:rsidRPr="00F65E07">
        <w:rPr>
          <w:color w:val="000000" w:themeColor="text1"/>
        </w:rPr>
        <w:t>permitting</w:t>
      </w:r>
      <w:r w:rsidR="00323474" w:rsidRPr="00D53DFB">
        <w:rPr>
          <w:color w:val="000000" w:themeColor="text1"/>
        </w:rPr>
        <w:t xml:space="preserve"> HEIs to triple fees as the Government withdrew direct funding. Such a </w:t>
      </w:r>
      <w:r w:rsidR="0094208B">
        <w:rPr>
          <w:color w:val="000000" w:themeColor="text1"/>
        </w:rPr>
        <w:t>withdrawal of support</w:t>
      </w:r>
      <w:r w:rsidR="00323474" w:rsidRPr="00D53DFB">
        <w:rPr>
          <w:color w:val="000000" w:themeColor="text1"/>
        </w:rPr>
        <w:t>, an austerity deemed necessary</w:t>
      </w:r>
      <w:r w:rsidRPr="00D53DFB">
        <w:rPr>
          <w:color w:val="000000" w:themeColor="text1"/>
        </w:rPr>
        <w:t xml:space="preserve"> </w:t>
      </w:r>
      <w:r w:rsidR="00323474" w:rsidRPr="00D53DFB">
        <w:rPr>
          <w:color w:val="000000" w:themeColor="text1"/>
        </w:rPr>
        <w:t>following the global financial crash</w:t>
      </w:r>
      <w:r w:rsidR="00A4214A" w:rsidRPr="00D53DFB">
        <w:rPr>
          <w:color w:val="000000" w:themeColor="text1"/>
        </w:rPr>
        <w:t xml:space="preserve"> of 2008</w:t>
      </w:r>
      <w:r w:rsidR="00323474" w:rsidRPr="00D53DFB">
        <w:rPr>
          <w:color w:val="000000" w:themeColor="text1"/>
        </w:rPr>
        <w:t>, raises a general concern</w:t>
      </w:r>
      <w:r w:rsidRPr="00D53DFB">
        <w:rPr>
          <w:color w:val="000000" w:themeColor="text1"/>
        </w:rPr>
        <w:t xml:space="preserve"> about</w:t>
      </w:r>
      <w:r w:rsidR="0094208B">
        <w:rPr>
          <w:color w:val="000000" w:themeColor="text1"/>
        </w:rPr>
        <w:t xml:space="preserve"> Government’s</w:t>
      </w:r>
      <w:r w:rsidR="00DF4C74">
        <w:rPr>
          <w:color w:val="000000" w:themeColor="text1"/>
        </w:rPr>
        <w:t xml:space="preserve"> ability to</w:t>
      </w:r>
      <w:r w:rsidR="0094208B">
        <w:rPr>
          <w:color w:val="000000" w:themeColor="text1"/>
        </w:rPr>
        <w:t xml:space="preserve"> recogni</w:t>
      </w:r>
      <w:r w:rsidR="00DF4C74">
        <w:rPr>
          <w:color w:val="000000" w:themeColor="text1"/>
        </w:rPr>
        <w:t>se</w:t>
      </w:r>
      <w:r w:rsidRPr="00D53DFB">
        <w:rPr>
          <w:color w:val="000000" w:themeColor="text1"/>
        </w:rPr>
        <w:t xml:space="preserve"> the role of the </w:t>
      </w:r>
      <w:r w:rsidR="00E561EA">
        <w:rPr>
          <w:color w:val="000000" w:themeColor="text1"/>
        </w:rPr>
        <w:t>art</w:t>
      </w:r>
      <w:r w:rsidR="00700DF2">
        <w:rPr>
          <w:color w:val="000000" w:themeColor="text1"/>
        </w:rPr>
        <w:t xml:space="preserve"> </w:t>
      </w:r>
      <w:r w:rsidR="005F71EA">
        <w:rPr>
          <w:color w:val="000000" w:themeColor="text1"/>
        </w:rPr>
        <w:t>schools</w:t>
      </w:r>
      <w:r w:rsidRPr="00D53DFB">
        <w:rPr>
          <w:color w:val="000000" w:themeColor="text1"/>
        </w:rPr>
        <w:t xml:space="preserve"> as a source of knowledge for the common good</w:t>
      </w:r>
      <w:r w:rsidR="00D53DFB">
        <w:rPr>
          <w:color w:val="000000" w:themeColor="text1"/>
        </w:rPr>
        <w:t>.</w:t>
      </w:r>
    </w:p>
    <w:p w14:paraId="0BD497CA" w14:textId="6F8A30D6" w:rsidR="00EE3502" w:rsidRPr="001868ED" w:rsidRDefault="00C03547" w:rsidP="00EE3502">
      <w:pPr>
        <w:spacing w:line="480" w:lineRule="auto"/>
        <w:rPr>
          <w:color w:val="000000" w:themeColor="text1"/>
        </w:rPr>
      </w:pPr>
      <w:r w:rsidRPr="001868ED">
        <w:rPr>
          <w:color w:val="000000" w:themeColor="text1"/>
        </w:rPr>
        <w:t>Consequences</w:t>
      </w:r>
      <w:r w:rsidR="00AD20CA" w:rsidRPr="001868ED">
        <w:rPr>
          <w:color w:val="000000" w:themeColor="text1"/>
        </w:rPr>
        <w:t xml:space="preserve"> </w:t>
      </w:r>
      <w:r w:rsidR="0069742B" w:rsidRPr="001868ED">
        <w:rPr>
          <w:color w:val="000000" w:themeColor="text1"/>
        </w:rPr>
        <w:t xml:space="preserve"> </w:t>
      </w:r>
      <w:r w:rsidR="00C019BE" w:rsidRPr="001868ED">
        <w:rPr>
          <w:color w:val="000000" w:themeColor="text1"/>
        </w:rPr>
        <w:t>(</w:t>
      </w:r>
      <w:r w:rsidR="00AD20CA" w:rsidRPr="001868ED">
        <w:rPr>
          <w:color w:val="000000" w:themeColor="text1"/>
        </w:rPr>
        <w:t>perhaps unintended</w:t>
      </w:r>
      <w:r w:rsidR="00C019BE" w:rsidRPr="001868ED">
        <w:rPr>
          <w:color w:val="000000" w:themeColor="text1"/>
        </w:rPr>
        <w:t>, if we are generous in our criticism!)</w:t>
      </w:r>
      <w:r w:rsidR="00EE3502" w:rsidRPr="001868ED">
        <w:rPr>
          <w:color w:val="000000" w:themeColor="text1"/>
        </w:rPr>
        <w:t xml:space="preserve"> of these</w:t>
      </w:r>
      <w:r w:rsidR="003B1884" w:rsidRPr="001868ED">
        <w:rPr>
          <w:color w:val="000000" w:themeColor="text1"/>
        </w:rPr>
        <w:t xml:space="preserve"> managerial</w:t>
      </w:r>
      <w:r w:rsidR="00EE3502" w:rsidRPr="001868ED">
        <w:rPr>
          <w:color w:val="000000" w:themeColor="text1"/>
        </w:rPr>
        <w:t xml:space="preserve"> trends</w:t>
      </w:r>
      <w:r w:rsidR="003B1884" w:rsidRPr="001868ED">
        <w:rPr>
          <w:color w:val="000000" w:themeColor="text1"/>
        </w:rPr>
        <w:t xml:space="preserve"> influenced by neoliberal policy</w:t>
      </w:r>
      <w:r w:rsidR="00EE3502" w:rsidRPr="001868ED">
        <w:rPr>
          <w:color w:val="000000" w:themeColor="text1"/>
        </w:rPr>
        <w:t xml:space="preserve"> were noted early by </w:t>
      </w:r>
      <w:proofErr w:type="spellStart"/>
      <w:r w:rsidR="00EE3502" w:rsidRPr="001868ED">
        <w:rPr>
          <w:color w:val="000000" w:themeColor="text1"/>
        </w:rPr>
        <w:t>Petherbridge</w:t>
      </w:r>
      <w:proofErr w:type="spellEnd"/>
      <w:r w:rsidR="00EE3502" w:rsidRPr="001868ED">
        <w:rPr>
          <w:color w:val="000000" w:themeColor="text1"/>
        </w:rPr>
        <w:t xml:space="preserve"> who, in her seminal book </w:t>
      </w:r>
      <w:r w:rsidR="00EE3502" w:rsidRPr="001868ED">
        <w:rPr>
          <w:i/>
          <w:color w:val="000000" w:themeColor="text1"/>
        </w:rPr>
        <w:t xml:space="preserve">The Primacy of Drawing, </w:t>
      </w:r>
      <w:r w:rsidR="00EE3502" w:rsidRPr="001868ED">
        <w:rPr>
          <w:color w:val="000000" w:themeColor="text1"/>
        </w:rPr>
        <w:t>warned:</w:t>
      </w:r>
    </w:p>
    <w:p w14:paraId="75CFD7E7" w14:textId="77777777" w:rsidR="00EE3502" w:rsidRPr="001868ED" w:rsidRDefault="00EE3502" w:rsidP="00EE3502">
      <w:pPr>
        <w:ind w:left="720"/>
        <w:rPr>
          <w:color w:val="000000" w:themeColor="text1"/>
        </w:rPr>
      </w:pPr>
      <w:r w:rsidRPr="001868ED">
        <w:rPr>
          <w:color w:val="000000" w:themeColor="text1"/>
        </w:rPr>
        <w:t>More recently, under the democratic, pluralistic but also hegemonic imperatives</w:t>
      </w:r>
    </w:p>
    <w:p w14:paraId="212D29D9" w14:textId="23440975" w:rsidR="00EE3502" w:rsidRPr="001868ED" w:rsidRDefault="00EE3502" w:rsidP="00AD20CA">
      <w:pPr>
        <w:ind w:left="720"/>
        <w:rPr>
          <w:color w:val="000000" w:themeColor="text1"/>
        </w:rPr>
      </w:pPr>
      <w:r w:rsidRPr="001868ED">
        <w:rPr>
          <w:color w:val="000000" w:themeColor="text1"/>
        </w:rPr>
        <w:lastRenderedPageBreak/>
        <w:t>of universities</w:t>
      </w:r>
      <w:r w:rsidR="00AD20CA" w:rsidRPr="001868ED">
        <w:rPr>
          <w:color w:val="000000" w:themeColor="text1"/>
        </w:rPr>
        <w:t>…</w:t>
      </w:r>
      <w:r w:rsidRPr="001868ED">
        <w:rPr>
          <w:color w:val="000000" w:themeColor="text1"/>
        </w:rPr>
        <w:t>individual practice in art departments has become increasingly fragmented</w:t>
      </w:r>
      <w:r w:rsidR="00AD20CA" w:rsidRPr="001868ED">
        <w:rPr>
          <w:color w:val="000000" w:themeColor="text1"/>
        </w:rPr>
        <w:t xml:space="preserve"> </w:t>
      </w:r>
      <w:r w:rsidRPr="001868ED">
        <w:rPr>
          <w:color w:val="000000" w:themeColor="text1"/>
        </w:rPr>
        <w:t>through modular teaching and self-directed learning, with students looking outward to the art market and its officiates.</w:t>
      </w:r>
    </w:p>
    <w:p w14:paraId="6BA0938A" w14:textId="7A75606D" w:rsidR="00B973E5" w:rsidRPr="001868ED" w:rsidRDefault="00B973E5" w:rsidP="00EE3502">
      <w:pPr>
        <w:ind w:left="720"/>
        <w:rPr>
          <w:color w:val="000000" w:themeColor="text1"/>
        </w:rPr>
      </w:pPr>
      <w:r w:rsidRPr="001868ED">
        <w:rPr>
          <w:color w:val="000000" w:themeColor="text1"/>
        </w:rPr>
        <w:t>(</w:t>
      </w:r>
      <w:proofErr w:type="spellStart"/>
      <w:r w:rsidRPr="001868ED">
        <w:rPr>
          <w:color w:val="000000" w:themeColor="text1"/>
        </w:rPr>
        <w:t>Petherbridge</w:t>
      </w:r>
      <w:proofErr w:type="spellEnd"/>
      <w:r w:rsidRPr="001868ED">
        <w:rPr>
          <w:color w:val="000000" w:themeColor="text1"/>
        </w:rPr>
        <w:t xml:space="preserve"> 2010: 232)</w:t>
      </w:r>
    </w:p>
    <w:p w14:paraId="04013C19" w14:textId="77777777" w:rsidR="00674D8E" w:rsidRPr="00903477" w:rsidRDefault="00674D8E" w:rsidP="00EE3502">
      <w:pPr>
        <w:ind w:left="720"/>
        <w:rPr>
          <w:color w:val="000000" w:themeColor="text1"/>
        </w:rPr>
      </w:pPr>
    </w:p>
    <w:p w14:paraId="174AF294" w14:textId="77777777" w:rsidR="009D0EB8" w:rsidRDefault="009D0EB8" w:rsidP="00AF4025">
      <w:pPr>
        <w:spacing w:line="480" w:lineRule="auto"/>
      </w:pPr>
    </w:p>
    <w:p w14:paraId="74C94B4B" w14:textId="665965CD" w:rsidR="00AF4025" w:rsidRPr="00A40D38" w:rsidRDefault="00AF4025" w:rsidP="00AF4025">
      <w:pPr>
        <w:spacing w:line="480" w:lineRule="auto"/>
        <w:rPr>
          <w:color w:val="000000" w:themeColor="text1"/>
          <w:sz w:val="22"/>
          <w:szCs w:val="22"/>
          <w:lang w:eastAsia="en-GB"/>
        </w:rPr>
      </w:pPr>
      <w:r w:rsidRPr="00A40D38">
        <w:rPr>
          <w:color w:val="000000" w:themeColor="text1"/>
          <w:lang w:eastAsia="en-GB"/>
        </w:rPr>
        <w:t xml:space="preserve">The </w:t>
      </w:r>
      <w:r w:rsidR="00604D18" w:rsidRPr="00A40D38">
        <w:rPr>
          <w:color w:val="000000" w:themeColor="text1"/>
          <w:lang w:eastAsia="en-GB"/>
        </w:rPr>
        <w:t>relevance</w:t>
      </w:r>
      <w:r w:rsidRPr="00A40D38">
        <w:rPr>
          <w:color w:val="000000" w:themeColor="text1"/>
          <w:lang w:eastAsia="en-GB"/>
        </w:rPr>
        <w:t xml:space="preserve"> to drawing is very real. When comparing the value systems it becomes obvious why the </w:t>
      </w:r>
      <w:r w:rsidRPr="00A40D38">
        <w:rPr>
          <w:i/>
          <w:iCs/>
          <w:color w:val="000000" w:themeColor="text1"/>
          <w:lang w:eastAsia="en-GB"/>
        </w:rPr>
        <w:t>product</w:t>
      </w:r>
      <w:r w:rsidRPr="00A40D38">
        <w:rPr>
          <w:color w:val="000000" w:themeColor="text1"/>
          <w:lang w:eastAsia="en-GB"/>
        </w:rPr>
        <w:t xml:space="preserve"> has become valued over the </w:t>
      </w:r>
      <w:r w:rsidRPr="00A40D38">
        <w:rPr>
          <w:i/>
          <w:iCs/>
          <w:color w:val="000000" w:themeColor="text1"/>
          <w:lang w:eastAsia="en-GB"/>
        </w:rPr>
        <w:t>process</w:t>
      </w:r>
      <w:r w:rsidRPr="00A40D38">
        <w:rPr>
          <w:color w:val="000000" w:themeColor="text1"/>
          <w:lang w:eastAsia="en-GB"/>
        </w:rPr>
        <w:t xml:space="preserve">. In the older models of public sector management, values such as </w:t>
      </w:r>
      <w:r w:rsidRPr="00A40D38">
        <w:rPr>
          <w:i/>
          <w:iCs/>
          <w:color w:val="000000" w:themeColor="text1"/>
          <w:lang w:eastAsia="en-GB"/>
        </w:rPr>
        <w:t xml:space="preserve">correct procedure </w:t>
      </w:r>
      <w:r w:rsidRPr="00A40D38">
        <w:rPr>
          <w:color w:val="000000" w:themeColor="text1"/>
          <w:lang w:eastAsia="en-GB"/>
        </w:rPr>
        <w:t xml:space="preserve">and </w:t>
      </w:r>
      <w:r w:rsidRPr="00A40D38">
        <w:rPr>
          <w:i/>
          <w:iCs/>
          <w:color w:val="000000" w:themeColor="text1"/>
          <w:lang w:eastAsia="en-GB"/>
        </w:rPr>
        <w:t>planning</w:t>
      </w:r>
      <w:r w:rsidRPr="00A40D38">
        <w:rPr>
          <w:color w:val="000000" w:themeColor="text1"/>
          <w:lang w:eastAsia="en-GB"/>
        </w:rPr>
        <w:t xml:space="preserve"> took precedence.</w:t>
      </w:r>
      <w:r w:rsidR="00AF43C0" w:rsidRPr="00A40D38">
        <w:rPr>
          <w:color w:val="000000" w:themeColor="text1"/>
          <w:lang w:eastAsia="en-GB"/>
        </w:rPr>
        <w:t xml:space="preserve"> </w:t>
      </w:r>
      <w:r w:rsidRPr="00A40D38">
        <w:rPr>
          <w:color w:val="000000" w:themeColor="text1"/>
          <w:lang w:eastAsia="en-GB"/>
        </w:rPr>
        <w:t xml:space="preserve">The new public management is about competition and efficiency: the </w:t>
      </w:r>
      <w:r w:rsidRPr="00A40D38">
        <w:rPr>
          <w:i/>
          <w:iCs/>
          <w:color w:val="000000" w:themeColor="text1"/>
          <w:lang w:eastAsia="en-GB"/>
        </w:rPr>
        <w:t>product</w:t>
      </w:r>
      <w:r w:rsidRPr="00A40D38">
        <w:rPr>
          <w:color w:val="000000" w:themeColor="text1"/>
          <w:lang w:eastAsia="en-GB"/>
        </w:rPr>
        <w:t xml:space="preserve"> is the important thing, not the process. This is disas</w:t>
      </w:r>
      <w:r w:rsidR="008208BA" w:rsidRPr="00A40D38">
        <w:rPr>
          <w:color w:val="000000" w:themeColor="text1"/>
          <w:lang w:eastAsia="en-GB"/>
        </w:rPr>
        <w:t>t</w:t>
      </w:r>
      <w:r w:rsidRPr="00A40D38">
        <w:rPr>
          <w:color w:val="000000" w:themeColor="text1"/>
          <w:lang w:eastAsia="en-GB"/>
        </w:rPr>
        <w:t>rous for any practice in which the duration of time is an  integral qualitative part</w:t>
      </w:r>
      <w:r w:rsidR="005F71EA">
        <w:rPr>
          <w:color w:val="000000" w:themeColor="text1"/>
          <w:lang w:eastAsia="en-GB"/>
        </w:rPr>
        <w:t>: p</w:t>
      </w:r>
      <w:r w:rsidRPr="00A40D38">
        <w:rPr>
          <w:color w:val="000000" w:themeColor="text1"/>
          <w:lang w:eastAsia="en-GB"/>
        </w:rPr>
        <w:t>ractices such as learning relationships, most services, and of course, drawing (as a process). Now, the prevailing logic is, if you can arrive at the same product more quickly, you should! </w:t>
      </w:r>
    </w:p>
    <w:p w14:paraId="68B5DA4D" w14:textId="5D186D33" w:rsidR="00C568EB" w:rsidRPr="00700DF2" w:rsidRDefault="008D24F4" w:rsidP="00D64F54">
      <w:pPr>
        <w:spacing w:line="480" w:lineRule="auto"/>
        <w:rPr>
          <w:b/>
          <w:iCs/>
        </w:rPr>
      </w:pPr>
      <w:r>
        <w:rPr>
          <w:b/>
          <w:i/>
        </w:rPr>
        <w:t xml:space="preserve"> </w:t>
      </w:r>
      <w:r w:rsidR="00C568EB">
        <w:rPr>
          <w:b/>
          <w:i/>
        </w:rPr>
        <w:t>A</w:t>
      </w:r>
      <w:r w:rsidR="00C14352">
        <w:rPr>
          <w:b/>
          <w:i/>
        </w:rPr>
        <w:t xml:space="preserve"> Basis for a</w:t>
      </w:r>
      <w:r w:rsidR="00C568EB">
        <w:rPr>
          <w:b/>
          <w:i/>
        </w:rPr>
        <w:t xml:space="preserve"> Curriculum for Drawing</w:t>
      </w:r>
      <w:r w:rsidR="00FA70DE">
        <w:rPr>
          <w:b/>
          <w:i/>
        </w:rPr>
        <w:t xml:space="preserve"> </w:t>
      </w:r>
    </w:p>
    <w:p w14:paraId="4B4A35A9" w14:textId="3A1A1B92" w:rsidR="007F5139" w:rsidRPr="008208BA" w:rsidRDefault="00E32CCB" w:rsidP="008208BA">
      <w:pPr>
        <w:pStyle w:val="CommentText"/>
        <w:spacing w:line="480" w:lineRule="auto"/>
        <w:rPr>
          <w:color w:val="000000" w:themeColor="text1"/>
          <w:sz w:val="24"/>
          <w:szCs w:val="24"/>
        </w:rPr>
      </w:pPr>
      <w:r>
        <w:rPr>
          <w:color w:val="000000" w:themeColor="text1"/>
          <w:sz w:val="24"/>
          <w:szCs w:val="24"/>
        </w:rPr>
        <w:t>O</w:t>
      </w:r>
      <w:r w:rsidR="00BF5BE9" w:rsidRPr="008208BA">
        <w:rPr>
          <w:color w:val="000000" w:themeColor="text1"/>
          <w:sz w:val="24"/>
          <w:szCs w:val="24"/>
        </w:rPr>
        <w:t xml:space="preserve">bservational drawing is being compromised more than other kinds of drawing, and </w:t>
      </w:r>
      <w:r w:rsidR="00442A02">
        <w:rPr>
          <w:color w:val="000000" w:themeColor="text1"/>
          <w:sz w:val="24"/>
          <w:szCs w:val="24"/>
        </w:rPr>
        <w:t>we</w:t>
      </w:r>
      <w:r>
        <w:rPr>
          <w:color w:val="000000" w:themeColor="text1"/>
          <w:sz w:val="24"/>
          <w:szCs w:val="24"/>
        </w:rPr>
        <w:t xml:space="preserve"> </w:t>
      </w:r>
      <w:r w:rsidR="00BF5BE9" w:rsidRPr="008208BA">
        <w:rPr>
          <w:color w:val="000000" w:themeColor="text1"/>
          <w:sz w:val="24"/>
          <w:szCs w:val="24"/>
        </w:rPr>
        <w:t xml:space="preserve">consider it is still a good idea to teach this, not only because it improves drawing, but because it engages </w:t>
      </w:r>
      <w:r w:rsidR="00E67C00" w:rsidRPr="008208BA">
        <w:rPr>
          <w:color w:val="000000" w:themeColor="text1"/>
          <w:sz w:val="24"/>
          <w:szCs w:val="24"/>
        </w:rPr>
        <w:t>the drawer</w:t>
      </w:r>
      <w:r w:rsidR="00BF5BE9" w:rsidRPr="008208BA">
        <w:rPr>
          <w:color w:val="000000" w:themeColor="text1"/>
          <w:sz w:val="24"/>
          <w:szCs w:val="24"/>
        </w:rPr>
        <w:t xml:space="preserve"> directly with the things themselves. </w:t>
      </w:r>
      <w:r w:rsidR="00A16537">
        <w:rPr>
          <w:color w:val="000000" w:themeColor="text1"/>
          <w:sz w:val="24"/>
          <w:szCs w:val="24"/>
        </w:rPr>
        <w:t>Looking</w:t>
      </w:r>
      <w:r w:rsidR="00D122A1">
        <w:rPr>
          <w:color w:val="000000" w:themeColor="text1"/>
          <w:sz w:val="24"/>
          <w:szCs w:val="24"/>
        </w:rPr>
        <w:t>,</w:t>
      </w:r>
      <w:r w:rsidR="00A16537">
        <w:rPr>
          <w:color w:val="000000" w:themeColor="text1"/>
          <w:sz w:val="24"/>
          <w:szCs w:val="24"/>
        </w:rPr>
        <w:t xml:space="preserve"> without language filtering perception</w:t>
      </w:r>
      <w:r w:rsidR="00D122A1">
        <w:rPr>
          <w:color w:val="000000" w:themeColor="text1"/>
          <w:sz w:val="24"/>
          <w:szCs w:val="24"/>
        </w:rPr>
        <w:t>,</w:t>
      </w:r>
      <w:r w:rsidR="00BF5BE9" w:rsidRPr="008208BA">
        <w:rPr>
          <w:color w:val="000000" w:themeColor="text1"/>
          <w:sz w:val="24"/>
          <w:szCs w:val="24"/>
        </w:rPr>
        <w:t xml:space="preserve"> is an undervalued skill, and</w:t>
      </w:r>
      <w:r w:rsidR="00E67C00" w:rsidRPr="008208BA">
        <w:rPr>
          <w:color w:val="000000" w:themeColor="text1"/>
          <w:sz w:val="24"/>
          <w:szCs w:val="24"/>
        </w:rPr>
        <w:t xml:space="preserve"> the most economic means of nurturing a versatility of perception</w:t>
      </w:r>
      <w:r w:rsidR="00BF5BE9" w:rsidRPr="008208BA">
        <w:rPr>
          <w:color w:val="000000" w:themeColor="text1"/>
          <w:sz w:val="24"/>
          <w:szCs w:val="24"/>
        </w:rPr>
        <w:t>. More than simply seeing, drawing is about ways of looking, a means of ‘changing channels’.</w:t>
      </w:r>
    </w:p>
    <w:p w14:paraId="55F0AB93" w14:textId="477F4129" w:rsidR="00D64F54" w:rsidRDefault="00442A02" w:rsidP="00D64F54">
      <w:pPr>
        <w:autoSpaceDE w:val="0"/>
        <w:autoSpaceDN w:val="0"/>
        <w:adjustRightInd w:val="0"/>
        <w:spacing w:line="480" w:lineRule="auto"/>
        <w:rPr>
          <w:rFonts w:eastAsiaTheme="minorEastAsia"/>
          <w:lang w:val="en-US"/>
        </w:rPr>
      </w:pPr>
      <w:r>
        <w:rPr>
          <w:rFonts w:eastAsiaTheme="minorEastAsia"/>
          <w:lang w:val="en-US"/>
        </w:rPr>
        <w:t>A</w:t>
      </w:r>
      <w:r w:rsidR="00D64F54" w:rsidRPr="00647810">
        <w:rPr>
          <w:rFonts w:eastAsiaTheme="minorEastAsia"/>
          <w:lang w:val="en-US"/>
        </w:rPr>
        <w:t xml:space="preserve"> </w:t>
      </w:r>
      <w:r w:rsidR="00BD6032">
        <w:rPr>
          <w:rFonts w:eastAsiaTheme="minorEastAsia"/>
          <w:lang w:val="en-US"/>
        </w:rPr>
        <w:t xml:space="preserve">clear </w:t>
      </w:r>
      <w:r w:rsidR="00D64F54" w:rsidRPr="00647810">
        <w:rPr>
          <w:rFonts w:eastAsiaTheme="minorEastAsia"/>
          <w:lang w:val="en-US"/>
        </w:rPr>
        <w:t xml:space="preserve">curriculum for the teaching of </w:t>
      </w:r>
      <w:r w:rsidR="00E579E4">
        <w:rPr>
          <w:rFonts w:eastAsiaTheme="minorEastAsia"/>
          <w:lang w:val="en-US"/>
        </w:rPr>
        <w:t>drawing</w:t>
      </w:r>
      <w:r>
        <w:rPr>
          <w:rFonts w:eastAsiaTheme="minorEastAsia"/>
          <w:lang w:val="en-US"/>
        </w:rPr>
        <w:t xml:space="preserve"> is advocated</w:t>
      </w:r>
      <w:r w:rsidR="004564C6">
        <w:rPr>
          <w:rFonts w:eastAsiaTheme="minorEastAsia"/>
          <w:lang w:val="en-US"/>
        </w:rPr>
        <w:t>, identified as a ‘</w:t>
      </w:r>
      <w:r w:rsidR="00BF5BE9">
        <w:rPr>
          <w:rFonts w:eastAsiaTheme="minorEastAsia"/>
          <w:lang w:val="en-US"/>
        </w:rPr>
        <w:t>C</w:t>
      </w:r>
      <w:r w:rsidR="004564C6">
        <w:rPr>
          <w:rFonts w:eastAsiaTheme="minorEastAsia"/>
          <w:lang w:val="en-US"/>
        </w:rPr>
        <w:t>onstructionist’ one in Figure 1,</w:t>
      </w:r>
      <w:r w:rsidR="00D64F54" w:rsidRPr="00647810">
        <w:rPr>
          <w:rFonts w:eastAsiaTheme="minorEastAsia"/>
          <w:lang w:val="en-US"/>
        </w:rPr>
        <w:t xml:space="preserve"> </w:t>
      </w:r>
      <w:r w:rsidR="00DF4C74">
        <w:rPr>
          <w:rFonts w:eastAsiaTheme="minorEastAsia"/>
          <w:lang w:val="en-US"/>
        </w:rPr>
        <w:t>based</w:t>
      </w:r>
      <w:r w:rsidR="00D64F54" w:rsidRPr="00647810">
        <w:rPr>
          <w:rFonts w:eastAsiaTheme="minorEastAsia"/>
          <w:lang w:val="en-US"/>
        </w:rPr>
        <w:t xml:space="preserve"> upon two fundamental</w:t>
      </w:r>
      <w:r w:rsidR="00D64F54">
        <w:rPr>
          <w:rFonts w:eastAsiaTheme="minorEastAsia"/>
          <w:lang w:val="en-US"/>
        </w:rPr>
        <w:t xml:space="preserve"> </w:t>
      </w:r>
      <w:r w:rsidR="00D64F54" w:rsidRPr="00647810">
        <w:rPr>
          <w:rFonts w:eastAsiaTheme="minorEastAsia"/>
          <w:lang w:val="en-US"/>
        </w:rPr>
        <w:t>theoretical bases: those of visual perception and</w:t>
      </w:r>
      <w:r w:rsidR="00D64F54">
        <w:rPr>
          <w:rFonts w:eastAsiaTheme="minorEastAsia"/>
          <w:lang w:val="en-US"/>
        </w:rPr>
        <w:t xml:space="preserve"> </w:t>
      </w:r>
      <w:r w:rsidR="00D64F54" w:rsidRPr="00647810">
        <w:rPr>
          <w:rFonts w:eastAsiaTheme="minorEastAsia"/>
          <w:lang w:val="en-US"/>
        </w:rPr>
        <w:t>visual communication</w:t>
      </w:r>
      <w:r w:rsidR="00E579E4">
        <w:rPr>
          <w:rFonts w:eastAsiaTheme="minorEastAsia"/>
          <w:lang w:val="en-US"/>
        </w:rPr>
        <w:t>.</w:t>
      </w:r>
    </w:p>
    <w:p w14:paraId="52C004F0" w14:textId="765E4452" w:rsidR="0028787D" w:rsidRPr="00491C56" w:rsidRDefault="003303F3" w:rsidP="0028787D">
      <w:pPr>
        <w:spacing w:line="480" w:lineRule="auto"/>
      </w:pPr>
      <w:r>
        <w:t>T</w:t>
      </w:r>
      <w:r w:rsidR="0028787D" w:rsidRPr="00491C56">
        <w:t>h</w:t>
      </w:r>
      <w:r w:rsidR="0028787D" w:rsidRPr="00C15913">
        <w:rPr>
          <w:color w:val="000000" w:themeColor="text1"/>
        </w:rPr>
        <w:t>e</w:t>
      </w:r>
      <w:r w:rsidR="00C15913" w:rsidRPr="00C15913">
        <w:rPr>
          <w:color w:val="000000" w:themeColor="text1"/>
        </w:rPr>
        <w:t>se</w:t>
      </w:r>
      <w:r w:rsidR="0028787D" w:rsidRPr="00C15913">
        <w:rPr>
          <w:color w:val="000000" w:themeColor="text1"/>
        </w:rPr>
        <w:t xml:space="preserve"> </w:t>
      </w:r>
      <w:r w:rsidR="0028787D" w:rsidRPr="00491C56">
        <w:t>theoretical bases can inform strategies for the teaching of drawing</w:t>
      </w:r>
      <w:r w:rsidR="00155E24">
        <w:t xml:space="preserve"> at all levels of the education system</w:t>
      </w:r>
      <w:r w:rsidR="00C15913">
        <w:t>;</w:t>
      </w:r>
      <w:r w:rsidR="0028787D" w:rsidRPr="00491C56">
        <w:t xml:space="preserve"> </w:t>
      </w:r>
      <w:r w:rsidR="006019B0">
        <w:t>strategies</w:t>
      </w:r>
      <w:r w:rsidR="0028787D" w:rsidRPr="00491C56">
        <w:t xml:space="preserve"> which can nurture students’ abilities to transform their experiences of the world – perceptual, emotional, imaginational - into articulate and coherent visible forms communicable to others.</w:t>
      </w:r>
    </w:p>
    <w:p w14:paraId="2B8A3C1D" w14:textId="75751EF1" w:rsidR="0028787D" w:rsidRPr="00BD4FA7" w:rsidRDefault="00C14352" w:rsidP="0028787D">
      <w:pPr>
        <w:spacing w:line="480" w:lineRule="auto"/>
      </w:pPr>
      <w:r w:rsidRPr="00BD4FA7">
        <w:lastRenderedPageBreak/>
        <w:t>Specifically, t</w:t>
      </w:r>
      <w:r w:rsidR="0028787D" w:rsidRPr="00BD4FA7">
        <w:t xml:space="preserve">he pedagogical strategies </w:t>
      </w:r>
      <w:r w:rsidRPr="00BD4FA7">
        <w:t>might be</w:t>
      </w:r>
      <w:r w:rsidR="0028787D" w:rsidRPr="00BD4FA7">
        <w:t xml:space="preserve"> </w:t>
      </w:r>
      <w:r w:rsidR="00E030EF" w:rsidRPr="00BD4FA7">
        <w:t>centred</w:t>
      </w:r>
      <w:r w:rsidR="0028787D" w:rsidRPr="00BD4FA7">
        <w:t xml:space="preserve"> upon principles derived from an ecological theory of visual perception first proposed by</w:t>
      </w:r>
      <w:r w:rsidR="00357BB0" w:rsidRPr="00BD4FA7">
        <w:t xml:space="preserve"> </w:t>
      </w:r>
      <w:r w:rsidR="00CE098F" w:rsidRPr="00BD4FA7">
        <w:t>the</w:t>
      </w:r>
      <w:r w:rsidR="00357BB0" w:rsidRPr="00BD4FA7">
        <w:t xml:space="preserve"> visual psychologist</w:t>
      </w:r>
      <w:r w:rsidR="0028787D" w:rsidRPr="00BD4FA7">
        <w:t xml:space="preserve"> James J. Gibson (1979), and aspects of </w:t>
      </w:r>
      <w:r w:rsidR="00F625BA" w:rsidRPr="00BD4FA7">
        <w:t xml:space="preserve">visual </w:t>
      </w:r>
      <w:r w:rsidR="0028787D" w:rsidRPr="00BD4FA7">
        <w:t xml:space="preserve">communication theory developed by the semiotician </w:t>
      </w:r>
      <w:r w:rsidR="0028787D" w:rsidRPr="00BD4FA7">
        <w:rPr>
          <w:color w:val="000000" w:themeColor="text1"/>
        </w:rPr>
        <w:t>Michael O’Toole (2011)</w:t>
      </w:r>
      <w:r w:rsidR="00686F18" w:rsidRPr="00BD4FA7">
        <w:rPr>
          <w:color w:val="000000" w:themeColor="text1"/>
        </w:rPr>
        <w:t>.</w:t>
      </w:r>
      <w:r w:rsidR="0028787D" w:rsidRPr="00BD4FA7">
        <w:rPr>
          <w:color w:val="000000" w:themeColor="text1"/>
        </w:rPr>
        <w:t xml:space="preserve"> Both theoretical bases</w:t>
      </w:r>
      <w:r w:rsidR="008D368C" w:rsidRPr="00BD4FA7">
        <w:rPr>
          <w:color w:val="000000" w:themeColor="text1"/>
        </w:rPr>
        <w:t>, rarely cited in the literature</w:t>
      </w:r>
      <w:r w:rsidR="000368D8" w:rsidRPr="00BD4FA7">
        <w:rPr>
          <w:color w:val="000000" w:themeColor="text1"/>
        </w:rPr>
        <w:t xml:space="preserve"> on drawing,</w:t>
      </w:r>
      <w:r w:rsidR="008D368C" w:rsidRPr="00BD4FA7">
        <w:rPr>
          <w:color w:val="000000" w:themeColor="text1"/>
        </w:rPr>
        <w:t xml:space="preserve"> yet </w:t>
      </w:r>
      <w:r w:rsidR="00700DF2" w:rsidRPr="00BD4FA7">
        <w:rPr>
          <w:color w:val="000000" w:themeColor="text1"/>
        </w:rPr>
        <w:t>fundamentally</w:t>
      </w:r>
      <w:r w:rsidR="008D368C" w:rsidRPr="00BD4FA7">
        <w:rPr>
          <w:color w:val="000000" w:themeColor="text1"/>
        </w:rPr>
        <w:t xml:space="preserve"> </w:t>
      </w:r>
      <w:r w:rsidR="008D368C" w:rsidRPr="00BD4FA7">
        <w:t>relevant to the pedagogy of drawing,</w:t>
      </w:r>
      <w:r w:rsidR="0028787D" w:rsidRPr="00BD4FA7">
        <w:t xml:space="preserve"> are adumbrated here:</w:t>
      </w:r>
    </w:p>
    <w:p w14:paraId="7130DE9A" w14:textId="5814424B" w:rsidR="0028787D" w:rsidRPr="00BD4FA7" w:rsidRDefault="0028787D" w:rsidP="0028787D">
      <w:pPr>
        <w:rPr>
          <w:i/>
          <w:color w:val="FF0000"/>
        </w:rPr>
      </w:pPr>
      <w:r w:rsidRPr="00BD4FA7">
        <w:rPr>
          <w:i/>
        </w:rPr>
        <w:t xml:space="preserve">Gibson: Organic Perceptual Systems and </w:t>
      </w:r>
      <w:r w:rsidR="0050318E" w:rsidRPr="00BD4FA7">
        <w:rPr>
          <w:i/>
        </w:rPr>
        <w:t>Levels</w:t>
      </w:r>
      <w:r w:rsidRPr="00BD4FA7">
        <w:rPr>
          <w:i/>
        </w:rPr>
        <w:t xml:space="preserve"> of Perception</w:t>
      </w:r>
    </w:p>
    <w:p w14:paraId="1A877DFB" w14:textId="77777777" w:rsidR="0000330A" w:rsidRPr="00BD4FA7" w:rsidRDefault="0000330A" w:rsidP="0028787D">
      <w:pPr>
        <w:rPr>
          <w:i/>
          <w:color w:val="FF0000"/>
        </w:rPr>
      </w:pPr>
    </w:p>
    <w:p w14:paraId="7AD8B161" w14:textId="77777777" w:rsidR="0028787D" w:rsidRPr="00BD4FA7" w:rsidRDefault="0028787D" w:rsidP="0028787D">
      <w:pPr>
        <w:spacing w:line="480" w:lineRule="auto"/>
        <w:rPr>
          <w:color w:val="000000" w:themeColor="text1"/>
        </w:rPr>
      </w:pPr>
      <w:r w:rsidRPr="00BD4FA7">
        <w:rPr>
          <w:color w:val="000000" w:themeColor="text1"/>
        </w:rPr>
        <w:t>An ecological approach to the explanation of visual perception argues that we have evolved perceptual systems which resonate with the fields of energy such as light so that we are able to respond and react directly to the environmental information contained in the arrays of light arriving at our eyes.</w:t>
      </w:r>
    </w:p>
    <w:p w14:paraId="6619C4C1" w14:textId="7BAAE6C9" w:rsidR="0028787D" w:rsidRPr="00BD4FA7" w:rsidRDefault="0028787D" w:rsidP="0028787D">
      <w:pPr>
        <w:spacing w:line="480" w:lineRule="auto"/>
        <w:rPr>
          <w:color w:val="000000" w:themeColor="text1"/>
        </w:rPr>
      </w:pPr>
      <w:r w:rsidRPr="00BD4FA7">
        <w:rPr>
          <w:color w:val="000000" w:themeColor="text1"/>
        </w:rPr>
        <w:t xml:space="preserve">Such information relates to a variety of affordances – possibilities for action - in response to haptic, distal and proximal cues contained in the structure of light. It is this insight of Gibson which allows </w:t>
      </w:r>
      <w:r w:rsidR="005058ED" w:rsidRPr="00BD4FA7">
        <w:rPr>
          <w:color w:val="000000" w:themeColor="text1"/>
        </w:rPr>
        <w:t>us</w:t>
      </w:r>
      <w:r w:rsidRPr="00BD4FA7">
        <w:rPr>
          <w:color w:val="000000" w:themeColor="text1"/>
        </w:rPr>
        <w:t xml:space="preserve"> to identify the various </w:t>
      </w:r>
      <w:r w:rsidRPr="00BD4FA7">
        <w:rPr>
          <w:i/>
          <w:color w:val="000000" w:themeColor="text1"/>
        </w:rPr>
        <w:t>levels of perception</w:t>
      </w:r>
      <w:r w:rsidRPr="00BD4FA7">
        <w:rPr>
          <w:color w:val="000000" w:themeColor="text1"/>
        </w:rPr>
        <w:t xml:space="preserve"> available for our attention; simply put, alternative ways of seeing. The honing of attention to these possibilities of perceptual information through the concentrated practice of observational drawing will, of course, also empower students in their everyday perceptual experiences away from the drawing studio. </w:t>
      </w:r>
    </w:p>
    <w:p w14:paraId="16EBA112" w14:textId="4CA38CDA" w:rsidR="0028787D" w:rsidRPr="00BD4FA7" w:rsidRDefault="00C568EB" w:rsidP="0028787D">
      <w:pPr>
        <w:spacing w:line="480" w:lineRule="auto"/>
        <w:rPr>
          <w:i/>
          <w:color w:val="000000" w:themeColor="text1"/>
        </w:rPr>
      </w:pPr>
      <w:r w:rsidRPr="00BD4FA7">
        <w:rPr>
          <w:i/>
          <w:color w:val="000000" w:themeColor="text1"/>
        </w:rPr>
        <w:t>O’Toole</w:t>
      </w:r>
      <w:r w:rsidR="0028787D" w:rsidRPr="00BD4FA7">
        <w:rPr>
          <w:color w:val="000000" w:themeColor="text1"/>
        </w:rPr>
        <w:t>:</w:t>
      </w:r>
      <w:r w:rsidR="0028787D" w:rsidRPr="00BD4FA7">
        <w:rPr>
          <w:i/>
          <w:color w:val="000000" w:themeColor="text1"/>
        </w:rPr>
        <w:t xml:space="preserve"> The Poetic Function</w:t>
      </w:r>
      <w:r w:rsidR="0028787D" w:rsidRPr="00BD4FA7">
        <w:rPr>
          <w:color w:val="000000" w:themeColor="text1"/>
        </w:rPr>
        <w:t xml:space="preserve"> </w:t>
      </w:r>
      <w:r w:rsidR="0028787D" w:rsidRPr="00BD4FA7">
        <w:rPr>
          <w:i/>
          <w:color w:val="000000" w:themeColor="text1"/>
        </w:rPr>
        <w:t>of Communication</w:t>
      </w:r>
    </w:p>
    <w:p w14:paraId="7E8D28A5" w14:textId="05650398" w:rsidR="00406D00" w:rsidRPr="00BD4FA7" w:rsidRDefault="0028787D" w:rsidP="0028787D">
      <w:pPr>
        <w:spacing w:line="480" w:lineRule="auto"/>
        <w:rPr>
          <w:color w:val="000000" w:themeColor="text1"/>
        </w:rPr>
      </w:pPr>
      <w:r w:rsidRPr="00BD4FA7">
        <w:rPr>
          <w:color w:val="000000" w:themeColor="text1"/>
        </w:rPr>
        <w:t>Within the</w:t>
      </w:r>
      <w:r w:rsidR="00155E24" w:rsidRPr="00BD4FA7">
        <w:rPr>
          <w:color w:val="000000" w:themeColor="text1"/>
        </w:rPr>
        <w:t xml:space="preserve"> classroom and</w:t>
      </w:r>
      <w:r w:rsidRPr="00BD4FA7">
        <w:rPr>
          <w:color w:val="000000" w:themeColor="text1"/>
        </w:rPr>
        <w:t xml:space="preserve"> studio, the task is to bring together knowledge gleaned from visual perception theory, and the re-</w:t>
      </w:r>
      <w:r w:rsidR="00F625BA" w:rsidRPr="00BD4FA7">
        <w:rPr>
          <w:color w:val="000000" w:themeColor="text1"/>
        </w:rPr>
        <w:t>vitalisation</w:t>
      </w:r>
      <w:r w:rsidRPr="00BD4FA7">
        <w:rPr>
          <w:color w:val="000000" w:themeColor="text1"/>
        </w:rPr>
        <w:t xml:space="preserve"> of relevant aspects of</w:t>
      </w:r>
      <w:r w:rsidR="00674FED" w:rsidRPr="00BD4FA7">
        <w:rPr>
          <w:color w:val="000000" w:themeColor="text1"/>
        </w:rPr>
        <w:t xml:space="preserve"> </w:t>
      </w:r>
      <w:r w:rsidRPr="00BD4FA7">
        <w:rPr>
          <w:color w:val="000000" w:themeColor="text1"/>
        </w:rPr>
        <w:t>communication theory. Particularly relevant is the work of</w:t>
      </w:r>
      <w:r w:rsidR="00357BB0" w:rsidRPr="00BD4FA7">
        <w:rPr>
          <w:color w:val="000000" w:themeColor="text1"/>
        </w:rPr>
        <w:t xml:space="preserve"> </w:t>
      </w:r>
      <w:r w:rsidR="00C568EB" w:rsidRPr="00BD4FA7">
        <w:rPr>
          <w:color w:val="000000" w:themeColor="text1"/>
        </w:rPr>
        <w:t>O’Toole</w:t>
      </w:r>
      <w:r w:rsidR="006E42B5" w:rsidRPr="00BD4FA7">
        <w:rPr>
          <w:color w:val="000000" w:themeColor="text1"/>
        </w:rPr>
        <w:t xml:space="preserve"> (2011)</w:t>
      </w:r>
      <w:r w:rsidRPr="00BD4FA7">
        <w:rPr>
          <w:color w:val="000000" w:themeColor="text1"/>
        </w:rPr>
        <w:t>, and h</w:t>
      </w:r>
      <w:r w:rsidR="00F625BA" w:rsidRPr="00BD4FA7">
        <w:rPr>
          <w:color w:val="000000" w:themeColor="text1"/>
        </w:rPr>
        <w:t>is adaptation of</w:t>
      </w:r>
      <w:r w:rsidR="00686F18" w:rsidRPr="00BD4FA7">
        <w:rPr>
          <w:color w:val="000000" w:themeColor="text1"/>
        </w:rPr>
        <w:t xml:space="preserve"> Michael A.K. Halliday’s (1978) systemic-functional model of language </w:t>
      </w:r>
      <w:r w:rsidR="00686F18" w:rsidRPr="00BD4FA7">
        <w:rPr>
          <w:i/>
          <w:color w:val="000000" w:themeColor="text1"/>
        </w:rPr>
        <w:t>via</w:t>
      </w:r>
      <w:r w:rsidRPr="00BD4FA7">
        <w:rPr>
          <w:color w:val="000000" w:themeColor="text1"/>
        </w:rPr>
        <w:t xml:space="preserve"> </w:t>
      </w:r>
      <w:r w:rsidR="00F625BA" w:rsidRPr="00BD4FA7">
        <w:rPr>
          <w:color w:val="000000" w:themeColor="text1"/>
        </w:rPr>
        <w:t>Roman Jakobson’s</w:t>
      </w:r>
      <w:r w:rsidR="00E24891" w:rsidRPr="00BD4FA7">
        <w:rPr>
          <w:color w:val="000000" w:themeColor="text1"/>
        </w:rPr>
        <w:t xml:space="preserve"> (1958)</w:t>
      </w:r>
      <w:r w:rsidRPr="00BD4FA7">
        <w:rPr>
          <w:color w:val="000000" w:themeColor="text1"/>
        </w:rPr>
        <w:t xml:space="preserve"> prime function of all creative production: the </w:t>
      </w:r>
      <w:r w:rsidRPr="00BD4FA7">
        <w:rPr>
          <w:i/>
          <w:color w:val="000000" w:themeColor="text1"/>
        </w:rPr>
        <w:t>poetic function,</w:t>
      </w:r>
      <w:r w:rsidRPr="00BD4FA7">
        <w:rPr>
          <w:color w:val="000000" w:themeColor="text1"/>
        </w:rPr>
        <w:t xml:space="preserve"> which draws attention to the form of the work in question through the deployment of visual rhetorical tropes such as metaphor, metonym and oxymoron, as well as the poetic strategies of composition such as  </w:t>
      </w:r>
      <w:r w:rsidRPr="00BD4FA7">
        <w:rPr>
          <w:color w:val="000000" w:themeColor="text1"/>
        </w:rPr>
        <w:lastRenderedPageBreak/>
        <w:t>the manipulation of scale, proportion, contrast, visual rhyming, rhythm, pattern, symmetry/asymmetry.</w:t>
      </w:r>
    </w:p>
    <w:p w14:paraId="4C2B82A5" w14:textId="1A54AB2D" w:rsidR="002835A7" w:rsidRPr="00E17609" w:rsidRDefault="002835A7" w:rsidP="002835A7">
      <w:pPr>
        <w:autoSpaceDE w:val="0"/>
        <w:autoSpaceDN w:val="0"/>
        <w:adjustRightInd w:val="0"/>
        <w:spacing w:line="480" w:lineRule="auto"/>
        <w:rPr>
          <w:b/>
          <w:i/>
          <w:color w:val="000000" w:themeColor="text1"/>
        </w:rPr>
      </w:pPr>
      <w:r w:rsidRPr="00E17609">
        <w:rPr>
          <w:b/>
          <w:i/>
          <w:color w:val="000000" w:themeColor="text1"/>
        </w:rPr>
        <w:t>Levels of Perception</w:t>
      </w:r>
      <w:r w:rsidR="008D368C" w:rsidRPr="00E17609">
        <w:rPr>
          <w:b/>
          <w:i/>
          <w:color w:val="000000" w:themeColor="text1"/>
        </w:rPr>
        <w:t>: a basis for pedagogy</w:t>
      </w:r>
      <w:r w:rsidR="00E67C00" w:rsidRPr="00E17609">
        <w:rPr>
          <w:b/>
          <w:i/>
          <w:color w:val="000000" w:themeColor="text1"/>
        </w:rPr>
        <w:t xml:space="preserve"> at all levels</w:t>
      </w:r>
    </w:p>
    <w:p w14:paraId="3C3FC803" w14:textId="2525EDDA" w:rsidR="002835A7" w:rsidRPr="00BD4FA7" w:rsidRDefault="006A5AA6" w:rsidP="002835A7">
      <w:pPr>
        <w:autoSpaceDE w:val="0"/>
        <w:autoSpaceDN w:val="0"/>
        <w:adjustRightInd w:val="0"/>
        <w:spacing w:line="480" w:lineRule="auto"/>
        <w:rPr>
          <w:color w:val="000000" w:themeColor="text1"/>
        </w:rPr>
      </w:pPr>
      <w:r w:rsidRPr="00BD4FA7">
        <w:rPr>
          <w:rFonts w:eastAsiaTheme="minorEastAsia"/>
          <w:color w:val="000000" w:themeColor="text1"/>
          <w:lang w:val="en-US"/>
        </w:rPr>
        <w:t>V</w:t>
      </w:r>
      <w:r w:rsidR="002835A7" w:rsidRPr="00BD4FA7">
        <w:rPr>
          <w:rFonts w:eastAsiaTheme="minorEastAsia"/>
          <w:color w:val="000000" w:themeColor="text1"/>
          <w:lang w:val="en-US"/>
        </w:rPr>
        <w:t>isual information</w:t>
      </w:r>
      <w:r w:rsidRPr="00BD4FA7">
        <w:rPr>
          <w:rFonts w:eastAsiaTheme="minorEastAsia"/>
          <w:color w:val="000000" w:themeColor="text1"/>
          <w:lang w:val="en-US"/>
        </w:rPr>
        <w:t xml:space="preserve"> about the state of the environment and our positioning within it, information</w:t>
      </w:r>
      <w:r w:rsidR="002835A7" w:rsidRPr="00BD4FA7">
        <w:rPr>
          <w:rFonts w:eastAsiaTheme="minorEastAsia"/>
          <w:color w:val="000000" w:themeColor="text1"/>
          <w:lang w:val="en-US"/>
        </w:rPr>
        <w:t xml:space="preserve"> crucial to a visual art</w:t>
      </w:r>
      <w:r w:rsidRPr="00BD4FA7">
        <w:rPr>
          <w:rFonts w:eastAsiaTheme="minorEastAsia"/>
          <w:color w:val="000000" w:themeColor="text1"/>
          <w:lang w:val="en-US"/>
        </w:rPr>
        <w:t>,</w:t>
      </w:r>
      <w:r w:rsidR="002835A7" w:rsidRPr="00BD4FA7">
        <w:rPr>
          <w:rFonts w:eastAsiaTheme="minorEastAsia"/>
          <w:color w:val="000000" w:themeColor="text1"/>
          <w:lang w:val="en-US"/>
        </w:rPr>
        <w:t xml:space="preserve"> </w:t>
      </w:r>
      <w:r w:rsidRPr="00BD4FA7">
        <w:rPr>
          <w:rFonts w:eastAsiaTheme="minorEastAsia"/>
          <w:color w:val="000000" w:themeColor="text1"/>
          <w:lang w:val="en-US"/>
        </w:rPr>
        <w:t>is contained with</w:t>
      </w:r>
      <w:r w:rsidR="002835A7" w:rsidRPr="00BD4FA7">
        <w:rPr>
          <w:rFonts w:eastAsiaTheme="minorEastAsia"/>
          <w:color w:val="000000" w:themeColor="text1"/>
          <w:lang w:val="en-US"/>
        </w:rPr>
        <w:t>in the structure of light arrays arriving at the eyes (Gibson 1979)</w:t>
      </w:r>
      <w:r w:rsidRPr="00BD4FA7">
        <w:rPr>
          <w:rFonts w:eastAsiaTheme="minorEastAsia"/>
          <w:color w:val="000000" w:themeColor="text1"/>
          <w:lang w:val="en-US"/>
        </w:rPr>
        <w:t xml:space="preserve"> and may be classified in three distinct ways.</w:t>
      </w:r>
      <w:r w:rsidR="002835A7" w:rsidRPr="00BD4FA7">
        <w:rPr>
          <w:rFonts w:eastAsiaTheme="minorEastAsia"/>
          <w:color w:val="000000" w:themeColor="text1"/>
          <w:lang w:val="en-US"/>
        </w:rPr>
        <w:t xml:space="preserve"> These may be explored in studio or elsewhere through exercises designed to focus attention on the ‘</w:t>
      </w:r>
      <w:r w:rsidR="002835A7" w:rsidRPr="00BD4FA7">
        <w:rPr>
          <w:rFonts w:eastAsiaTheme="minorEastAsia"/>
          <w:i/>
          <w:color w:val="000000" w:themeColor="text1"/>
          <w:lang w:val="en-US"/>
        </w:rPr>
        <w:t>haptic</w:t>
      </w:r>
      <w:r w:rsidR="002835A7" w:rsidRPr="00BD4FA7">
        <w:rPr>
          <w:rFonts w:eastAsiaTheme="minorEastAsia"/>
          <w:color w:val="000000" w:themeColor="text1"/>
          <w:lang w:val="en-US"/>
        </w:rPr>
        <w:t xml:space="preserve"> level’, at which information about surface qualities indicat</w:t>
      </w:r>
      <w:r w:rsidR="00A16537" w:rsidRPr="00BD4FA7">
        <w:rPr>
          <w:rFonts w:eastAsiaTheme="minorEastAsia"/>
          <w:color w:val="000000" w:themeColor="text1"/>
          <w:lang w:val="en-US"/>
        </w:rPr>
        <w:t>ing</w:t>
      </w:r>
      <w:r w:rsidR="002835A7" w:rsidRPr="00BD4FA7">
        <w:rPr>
          <w:rFonts w:eastAsiaTheme="minorEastAsia"/>
          <w:color w:val="000000" w:themeColor="text1"/>
          <w:lang w:val="en-US"/>
        </w:rPr>
        <w:t xml:space="preserve"> texture and </w:t>
      </w:r>
      <w:proofErr w:type="spellStart"/>
      <w:r w:rsidR="002835A7" w:rsidRPr="00BD4FA7">
        <w:rPr>
          <w:rFonts w:eastAsiaTheme="minorEastAsia"/>
          <w:color w:val="000000" w:themeColor="text1"/>
          <w:lang w:val="en-US"/>
        </w:rPr>
        <w:t>colour</w:t>
      </w:r>
      <w:proofErr w:type="spellEnd"/>
      <w:r w:rsidR="002835A7" w:rsidRPr="00BD4FA7">
        <w:rPr>
          <w:rFonts w:eastAsiaTheme="minorEastAsia"/>
          <w:color w:val="000000" w:themeColor="text1"/>
          <w:lang w:val="en-US"/>
        </w:rPr>
        <w:t xml:space="preserve"> may be accessed; the ‘</w:t>
      </w:r>
      <w:r w:rsidR="002835A7" w:rsidRPr="00BD4FA7">
        <w:rPr>
          <w:rFonts w:eastAsiaTheme="minorEastAsia"/>
          <w:i/>
          <w:color w:val="000000" w:themeColor="text1"/>
          <w:lang w:val="en-US"/>
        </w:rPr>
        <w:t>distal</w:t>
      </w:r>
      <w:r w:rsidR="002835A7" w:rsidRPr="00BD4FA7">
        <w:rPr>
          <w:rFonts w:eastAsiaTheme="minorEastAsia"/>
          <w:color w:val="000000" w:themeColor="text1"/>
          <w:lang w:val="en-US"/>
        </w:rPr>
        <w:t xml:space="preserve"> level’, to do with information about distance, size, scale and depth of field</w:t>
      </w:r>
      <w:r w:rsidRPr="00BD4FA7">
        <w:rPr>
          <w:rFonts w:eastAsiaTheme="minorEastAsia"/>
          <w:color w:val="000000" w:themeColor="text1"/>
          <w:lang w:val="en-US"/>
        </w:rPr>
        <w:t xml:space="preserve"> relative to the viewer</w:t>
      </w:r>
      <w:r w:rsidR="002835A7" w:rsidRPr="00BD4FA7">
        <w:rPr>
          <w:rFonts w:eastAsiaTheme="minorEastAsia"/>
          <w:color w:val="000000" w:themeColor="text1"/>
          <w:lang w:val="en-US"/>
        </w:rPr>
        <w:t>; and the ‘</w:t>
      </w:r>
      <w:r w:rsidR="002835A7" w:rsidRPr="00BD4FA7">
        <w:rPr>
          <w:rFonts w:eastAsiaTheme="minorEastAsia"/>
          <w:i/>
          <w:color w:val="000000" w:themeColor="text1"/>
          <w:lang w:val="en-US"/>
        </w:rPr>
        <w:t>proximal</w:t>
      </w:r>
      <w:r w:rsidR="002835A7" w:rsidRPr="00BD4FA7">
        <w:rPr>
          <w:rFonts w:eastAsiaTheme="minorEastAsia"/>
          <w:color w:val="000000" w:themeColor="text1"/>
          <w:lang w:val="en-US"/>
        </w:rPr>
        <w:t xml:space="preserve"> level’, which provides information about the overall pattern and rhythm relationships in the visual field as a whole. </w:t>
      </w:r>
      <w:r w:rsidR="002835A7" w:rsidRPr="00BD4FA7">
        <w:rPr>
          <w:color w:val="000000" w:themeColor="text1"/>
        </w:rPr>
        <w:t xml:space="preserve">An example of each level of perception is illustrated in Figures </w:t>
      </w:r>
      <w:r w:rsidR="00A031B5" w:rsidRPr="00BD4FA7">
        <w:rPr>
          <w:color w:val="000000" w:themeColor="text1"/>
        </w:rPr>
        <w:t>2-4</w:t>
      </w:r>
      <w:r w:rsidR="00C548A7" w:rsidRPr="00BD4FA7">
        <w:rPr>
          <w:color w:val="000000" w:themeColor="text1"/>
        </w:rPr>
        <w:t>:</w:t>
      </w:r>
      <w:r w:rsidR="002835A7" w:rsidRPr="00BD4FA7">
        <w:rPr>
          <w:color w:val="000000" w:themeColor="text1"/>
        </w:rPr>
        <w:t xml:space="preserve"> </w:t>
      </w:r>
    </w:p>
    <w:p w14:paraId="031A379F" w14:textId="2E52ADC7" w:rsidR="00E67C00" w:rsidRDefault="00D87D86" w:rsidP="002835A7">
      <w:pPr>
        <w:autoSpaceDE w:val="0"/>
        <w:autoSpaceDN w:val="0"/>
        <w:adjustRightInd w:val="0"/>
        <w:spacing w:line="480" w:lineRule="auto"/>
        <w:rPr>
          <w:b/>
          <w:bCs/>
        </w:rPr>
      </w:pPr>
      <w:r>
        <w:rPr>
          <w:b/>
          <w:bCs/>
          <w:noProof/>
        </w:rPr>
        <w:drawing>
          <wp:inline distT="0" distB="0" distL="0" distR="0" wp14:anchorId="34E16A62" wp14:editId="2F938FA7">
            <wp:extent cx="4820575" cy="3613150"/>
            <wp:effectExtent l="0" t="0" r="5715"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850014" cy="3635215"/>
                    </a:xfrm>
                    <a:prstGeom prst="rect">
                      <a:avLst/>
                    </a:prstGeom>
                  </pic:spPr>
                </pic:pic>
              </a:graphicData>
            </a:graphic>
          </wp:inline>
        </w:drawing>
      </w:r>
    </w:p>
    <w:p w14:paraId="35813C40" w14:textId="595D0BBF" w:rsidR="00E67C00" w:rsidRPr="00532838" w:rsidRDefault="00E67C00" w:rsidP="002835A7">
      <w:pPr>
        <w:autoSpaceDE w:val="0"/>
        <w:autoSpaceDN w:val="0"/>
        <w:adjustRightInd w:val="0"/>
        <w:spacing w:line="480" w:lineRule="auto"/>
      </w:pPr>
      <w:r>
        <w:rPr>
          <w:b/>
          <w:bCs/>
        </w:rPr>
        <w:t xml:space="preserve">Figure </w:t>
      </w:r>
      <w:r w:rsidR="00C548A7">
        <w:rPr>
          <w:b/>
          <w:bCs/>
        </w:rPr>
        <w:t>2</w:t>
      </w:r>
      <w:r>
        <w:rPr>
          <w:b/>
          <w:bCs/>
        </w:rPr>
        <w:t xml:space="preserve"> </w:t>
      </w:r>
      <w:r w:rsidR="00A403AA" w:rsidRPr="00A403AA">
        <w:rPr>
          <w:color w:val="000000" w:themeColor="text1"/>
        </w:rPr>
        <w:t xml:space="preserve">Howard Riley </w:t>
      </w:r>
      <w:r w:rsidR="00D87D86" w:rsidRPr="00A403AA">
        <w:rPr>
          <w:i/>
          <w:iCs/>
        </w:rPr>
        <w:t>Haptic</w:t>
      </w:r>
      <w:r w:rsidRPr="00A403AA">
        <w:rPr>
          <w:i/>
          <w:iCs/>
        </w:rPr>
        <w:t xml:space="preserve"> values</w:t>
      </w:r>
      <w:r w:rsidR="00BD4FA7">
        <w:t>: the textural values emphasised</w:t>
      </w:r>
    </w:p>
    <w:p w14:paraId="1DA2D450" w14:textId="36A8AA8B" w:rsidR="00E67C00" w:rsidRDefault="00D87D86" w:rsidP="002835A7">
      <w:pPr>
        <w:autoSpaceDE w:val="0"/>
        <w:autoSpaceDN w:val="0"/>
        <w:adjustRightInd w:val="0"/>
        <w:spacing w:line="480" w:lineRule="auto"/>
        <w:rPr>
          <w:b/>
          <w:bCs/>
        </w:rPr>
      </w:pPr>
      <w:r>
        <w:rPr>
          <w:b/>
          <w:bCs/>
          <w:noProof/>
        </w:rPr>
        <w:lastRenderedPageBreak/>
        <w:drawing>
          <wp:inline distT="0" distB="0" distL="0" distR="0" wp14:anchorId="0DC6103D" wp14:editId="3AC38F98">
            <wp:extent cx="4511040" cy="5233258"/>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57765" cy="5403474"/>
                    </a:xfrm>
                    <a:prstGeom prst="rect">
                      <a:avLst/>
                    </a:prstGeom>
                  </pic:spPr>
                </pic:pic>
              </a:graphicData>
            </a:graphic>
          </wp:inline>
        </w:drawing>
      </w:r>
    </w:p>
    <w:p w14:paraId="4595B84B" w14:textId="4E7EA71A" w:rsidR="00E67C00" w:rsidRDefault="00E67C00" w:rsidP="00A403AA">
      <w:pPr>
        <w:autoSpaceDE w:val="0"/>
        <w:autoSpaceDN w:val="0"/>
        <w:adjustRightInd w:val="0"/>
      </w:pPr>
      <w:r>
        <w:rPr>
          <w:b/>
          <w:bCs/>
        </w:rPr>
        <w:t xml:space="preserve">Figure </w:t>
      </w:r>
      <w:r w:rsidR="00C548A7">
        <w:rPr>
          <w:b/>
          <w:bCs/>
        </w:rPr>
        <w:t>3</w:t>
      </w:r>
      <w:r>
        <w:rPr>
          <w:b/>
          <w:bCs/>
        </w:rPr>
        <w:t xml:space="preserve"> </w:t>
      </w:r>
      <w:r w:rsidR="00A403AA" w:rsidRPr="00A403AA">
        <w:rPr>
          <w:color w:val="000000" w:themeColor="text1"/>
        </w:rPr>
        <w:t xml:space="preserve">Howard Riley </w:t>
      </w:r>
      <w:r w:rsidR="00D87D86" w:rsidRPr="00A403AA">
        <w:rPr>
          <w:i/>
          <w:iCs/>
        </w:rPr>
        <w:t>Distal</w:t>
      </w:r>
      <w:r w:rsidRPr="00A403AA">
        <w:rPr>
          <w:i/>
          <w:iCs/>
        </w:rPr>
        <w:t xml:space="preserve"> values</w:t>
      </w:r>
      <w:r w:rsidR="00BD4FA7">
        <w:t>: Contrast boundaries representing spatial depth emphasised</w:t>
      </w:r>
    </w:p>
    <w:p w14:paraId="53AC1D86" w14:textId="0324DADC" w:rsidR="00D87D86" w:rsidRDefault="00D87D86" w:rsidP="002835A7">
      <w:pPr>
        <w:autoSpaceDE w:val="0"/>
        <w:autoSpaceDN w:val="0"/>
        <w:adjustRightInd w:val="0"/>
        <w:spacing w:line="480" w:lineRule="auto"/>
      </w:pPr>
      <w:r>
        <w:rPr>
          <w:noProof/>
        </w:rPr>
        <w:lastRenderedPageBreak/>
        <w:drawing>
          <wp:inline distT="0" distB="0" distL="0" distR="0" wp14:anchorId="3EDB70C3" wp14:editId="3F1971F1">
            <wp:extent cx="4269740" cy="5140171"/>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28809" cy="5211282"/>
                    </a:xfrm>
                    <a:prstGeom prst="rect">
                      <a:avLst/>
                    </a:prstGeom>
                  </pic:spPr>
                </pic:pic>
              </a:graphicData>
            </a:graphic>
          </wp:inline>
        </w:drawing>
      </w:r>
    </w:p>
    <w:p w14:paraId="37ECD9F4" w14:textId="3D2A2D51" w:rsidR="00D87D86" w:rsidRPr="00D87D86" w:rsidRDefault="00D87D86" w:rsidP="002835A7">
      <w:pPr>
        <w:autoSpaceDE w:val="0"/>
        <w:autoSpaceDN w:val="0"/>
        <w:adjustRightInd w:val="0"/>
        <w:spacing w:line="480" w:lineRule="auto"/>
      </w:pPr>
      <w:r>
        <w:rPr>
          <w:b/>
          <w:bCs/>
        </w:rPr>
        <w:t xml:space="preserve">Figure </w:t>
      </w:r>
      <w:r w:rsidR="00C548A7">
        <w:rPr>
          <w:b/>
          <w:bCs/>
        </w:rPr>
        <w:t>4</w:t>
      </w:r>
      <w:r w:rsidRPr="00A416AC">
        <w:rPr>
          <w:b/>
          <w:bCs/>
          <w:color w:val="000000" w:themeColor="text1"/>
        </w:rPr>
        <w:t xml:space="preserve"> </w:t>
      </w:r>
      <w:r w:rsidR="00A403AA" w:rsidRPr="00A416AC">
        <w:rPr>
          <w:color w:val="000000" w:themeColor="text1"/>
        </w:rPr>
        <w:t xml:space="preserve">Howard Riley </w:t>
      </w:r>
      <w:r w:rsidRPr="00A403AA">
        <w:rPr>
          <w:i/>
          <w:iCs/>
        </w:rPr>
        <w:t>Proximal values</w:t>
      </w:r>
      <w:r w:rsidR="00BD4FA7" w:rsidRPr="00A403AA">
        <w:rPr>
          <w:i/>
          <w:iCs/>
        </w:rPr>
        <w:t>:</w:t>
      </w:r>
      <w:r w:rsidR="00BD4FA7">
        <w:t xml:space="preserve"> the pattern qualities emphasised</w:t>
      </w:r>
    </w:p>
    <w:p w14:paraId="5A1460E4" w14:textId="0B06EDEF" w:rsidR="002835A7" w:rsidRDefault="008D69AA" w:rsidP="00532838">
      <w:pPr>
        <w:autoSpaceDE w:val="0"/>
        <w:autoSpaceDN w:val="0"/>
        <w:adjustRightInd w:val="0"/>
        <w:spacing w:line="480" w:lineRule="auto"/>
      </w:pPr>
      <w:r>
        <w:rPr>
          <w:rFonts w:eastAsiaTheme="minorEastAsia"/>
          <w:lang w:val="en-US"/>
        </w:rPr>
        <w:t>Honing t</w:t>
      </w:r>
      <w:r w:rsidR="002835A7" w:rsidRPr="00647810">
        <w:rPr>
          <w:rFonts w:eastAsiaTheme="minorEastAsia"/>
          <w:lang w:val="en-US"/>
        </w:rPr>
        <w:t>he intelligence of seeing</w:t>
      </w:r>
      <w:r>
        <w:rPr>
          <w:rFonts w:eastAsiaTheme="minorEastAsia"/>
          <w:lang w:val="en-US"/>
        </w:rPr>
        <w:t xml:space="preserve"> required to</w:t>
      </w:r>
      <w:r w:rsidR="002835A7" w:rsidRPr="00647810">
        <w:rPr>
          <w:rFonts w:eastAsiaTheme="minorEastAsia"/>
          <w:lang w:val="en-US"/>
        </w:rPr>
        <w:t xml:space="preserve"> manipulate</w:t>
      </w:r>
      <w:r>
        <w:rPr>
          <w:rFonts w:eastAsiaTheme="minorEastAsia"/>
          <w:lang w:val="en-US"/>
        </w:rPr>
        <w:t xml:space="preserve"> these levels of information is crucial if students are to control</w:t>
      </w:r>
      <w:r w:rsidR="002835A7">
        <w:rPr>
          <w:rFonts w:eastAsiaTheme="minorEastAsia"/>
          <w:lang w:val="en-US"/>
        </w:rPr>
        <w:t xml:space="preserve"> </w:t>
      </w:r>
      <w:r w:rsidR="002835A7" w:rsidRPr="00647810">
        <w:rPr>
          <w:rFonts w:eastAsiaTheme="minorEastAsia"/>
          <w:lang w:val="en-US"/>
        </w:rPr>
        <w:t xml:space="preserve">the </w:t>
      </w:r>
      <w:r w:rsidR="00A16537">
        <w:rPr>
          <w:rFonts w:eastAsiaTheme="minorEastAsia"/>
          <w:lang w:val="en-US"/>
        </w:rPr>
        <w:t>balance between</w:t>
      </w:r>
      <w:r w:rsidR="002835A7" w:rsidRPr="00647810">
        <w:rPr>
          <w:rFonts w:eastAsiaTheme="minorEastAsia"/>
          <w:lang w:val="en-US"/>
        </w:rPr>
        <w:t xml:space="preserve"> perceptual intrigue</w:t>
      </w:r>
      <w:r w:rsidR="00A16537">
        <w:rPr>
          <w:rFonts w:eastAsiaTheme="minorEastAsia"/>
          <w:lang w:val="en-US"/>
        </w:rPr>
        <w:t xml:space="preserve"> and conceptual intrigue</w:t>
      </w:r>
      <w:r w:rsidR="00B07944">
        <w:rPr>
          <w:rFonts w:eastAsiaTheme="minorEastAsia"/>
          <w:lang w:val="en-US"/>
        </w:rPr>
        <w:t xml:space="preserve"> </w:t>
      </w:r>
      <w:r w:rsidR="00B07944" w:rsidRPr="00B07944">
        <w:rPr>
          <w:rFonts w:eastAsiaTheme="minorEastAsia"/>
          <w:color w:val="000000" w:themeColor="text1"/>
          <w:lang w:val="en-US"/>
        </w:rPr>
        <w:t>(an indication of quality)</w:t>
      </w:r>
      <w:r w:rsidR="002835A7" w:rsidRPr="00B07944">
        <w:rPr>
          <w:rFonts w:eastAsiaTheme="minorEastAsia"/>
          <w:color w:val="000000" w:themeColor="text1"/>
          <w:lang w:val="en-US"/>
        </w:rPr>
        <w:t xml:space="preserve"> </w:t>
      </w:r>
      <w:r w:rsidR="002835A7" w:rsidRPr="00647810">
        <w:rPr>
          <w:rFonts w:eastAsiaTheme="minorEastAsia"/>
          <w:lang w:val="en-US"/>
        </w:rPr>
        <w:t>in their work.</w:t>
      </w:r>
      <w:r w:rsidR="002835A7" w:rsidRPr="00D64F54">
        <w:t xml:space="preserve"> </w:t>
      </w:r>
      <w:r w:rsidR="002835A7">
        <w:t>Drawing is the most direct</w:t>
      </w:r>
      <w:r w:rsidR="005F71EA">
        <w:t xml:space="preserve"> and economic</w:t>
      </w:r>
      <w:r w:rsidR="002835A7">
        <w:t xml:space="preserve"> means of contemplating these channels of perception. It is therefore best positioned to be the means of release from our language-</w:t>
      </w:r>
      <w:r w:rsidR="005958AA">
        <w:t>filtered</w:t>
      </w:r>
      <w:r w:rsidR="002835A7">
        <w:t xml:space="preserve"> complacency of vision; it is a primary means of making the familiar strange.</w:t>
      </w:r>
    </w:p>
    <w:p w14:paraId="6276BE03" w14:textId="60192B5E" w:rsidR="0086789D" w:rsidRPr="002D784D" w:rsidRDefault="0086789D" w:rsidP="0028255B">
      <w:pPr>
        <w:pStyle w:val="BodyText"/>
        <w:rPr>
          <w:rFonts w:ascii="Times" w:hAnsi="Times"/>
          <w:b/>
          <w:color w:val="000000" w:themeColor="text1"/>
        </w:rPr>
      </w:pPr>
      <w:r w:rsidRPr="008A6B71">
        <w:rPr>
          <w:rFonts w:ascii="Times" w:hAnsi="Times"/>
          <w:b/>
        </w:rPr>
        <w:t>Last word</w:t>
      </w:r>
      <w:r w:rsidR="002D784D" w:rsidRPr="002D784D">
        <w:rPr>
          <w:rFonts w:ascii="Times" w:hAnsi="Times"/>
          <w:b/>
          <w:color w:val="000000" w:themeColor="text1"/>
        </w:rPr>
        <w:t>s</w:t>
      </w:r>
    </w:p>
    <w:p w14:paraId="02B1101C" w14:textId="77777777" w:rsidR="00B973E5" w:rsidRPr="00700DF2" w:rsidRDefault="004B2649" w:rsidP="0018437D">
      <w:pPr>
        <w:pStyle w:val="BodyText"/>
        <w:spacing w:line="240" w:lineRule="auto"/>
        <w:ind w:left="720"/>
        <w:rPr>
          <w:rFonts w:ascii="Times" w:hAnsi="Times"/>
        </w:rPr>
      </w:pPr>
      <w:r w:rsidRPr="00700DF2">
        <w:rPr>
          <w:rFonts w:ascii="Times" w:hAnsi="Times"/>
        </w:rPr>
        <w:t xml:space="preserve">Learning to draw, while no longer a privileged activity in either school or specialist art teaching, remains an activity of enormous importance and potency for education as a whole. Learning to observe, to investigate, to analyse, to compare, to critique, to </w:t>
      </w:r>
      <w:r w:rsidRPr="00700DF2">
        <w:rPr>
          <w:rFonts w:ascii="Times" w:hAnsi="Times"/>
        </w:rPr>
        <w:lastRenderedPageBreak/>
        <w:t xml:space="preserve">select, to imagine, to play and to invent constitutes the veritable paradigm of functioning effectively in the world. </w:t>
      </w:r>
    </w:p>
    <w:p w14:paraId="5A11F27F" w14:textId="16E8AF24" w:rsidR="00E37AD9" w:rsidRPr="00700DF2" w:rsidRDefault="004B2649" w:rsidP="0018437D">
      <w:pPr>
        <w:pStyle w:val="BodyText"/>
        <w:spacing w:line="240" w:lineRule="auto"/>
        <w:ind w:left="720"/>
        <w:rPr>
          <w:rFonts w:ascii="Times" w:hAnsi="Times"/>
        </w:rPr>
      </w:pPr>
      <w:r w:rsidRPr="00700DF2">
        <w:rPr>
          <w:rFonts w:ascii="Times" w:hAnsi="Times"/>
        </w:rPr>
        <w:t>(</w:t>
      </w:r>
      <w:proofErr w:type="spellStart"/>
      <w:r w:rsidRPr="00700DF2">
        <w:rPr>
          <w:rFonts w:ascii="Times" w:hAnsi="Times"/>
        </w:rPr>
        <w:t>Petherbridge</w:t>
      </w:r>
      <w:proofErr w:type="spellEnd"/>
      <w:r w:rsidRPr="00700DF2">
        <w:rPr>
          <w:rFonts w:ascii="Times" w:hAnsi="Times"/>
        </w:rPr>
        <w:t xml:space="preserve"> 2010: 233)</w:t>
      </w:r>
    </w:p>
    <w:p w14:paraId="7793B13F" w14:textId="7803AE6D" w:rsidR="009F6AB3" w:rsidRDefault="009F6AB3" w:rsidP="009F6AB3">
      <w:pPr>
        <w:pStyle w:val="BodyText"/>
        <w:spacing w:line="240" w:lineRule="auto"/>
        <w:rPr>
          <w:rFonts w:ascii="Times" w:hAnsi="Times"/>
          <w:b/>
        </w:rPr>
      </w:pPr>
    </w:p>
    <w:p w14:paraId="3841383C" w14:textId="59BAF89E" w:rsidR="00E37AD9" w:rsidRDefault="009F6AB3" w:rsidP="00811433">
      <w:pPr>
        <w:pStyle w:val="BodyText"/>
        <w:rPr>
          <w:rFonts w:ascii="Times" w:hAnsi="Times"/>
        </w:rPr>
      </w:pPr>
      <w:r w:rsidRPr="00811433">
        <w:rPr>
          <w:rFonts w:ascii="Times" w:hAnsi="Times"/>
        </w:rPr>
        <w:t>T</w:t>
      </w:r>
      <w:r w:rsidR="009B0180">
        <w:rPr>
          <w:rFonts w:ascii="Times" w:hAnsi="Times"/>
        </w:rPr>
        <w:t xml:space="preserve">he Office for Standards in Education (OFSTED 2011) </w:t>
      </w:r>
      <w:r w:rsidR="00204C44">
        <w:rPr>
          <w:rFonts w:ascii="Times" w:hAnsi="Times"/>
        </w:rPr>
        <w:t>raised the alarm</w:t>
      </w:r>
      <w:r w:rsidR="009A4A62">
        <w:rPr>
          <w:rFonts w:ascii="Times" w:hAnsi="Times"/>
        </w:rPr>
        <w:t>:</w:t>
      </w:r>
    </w:p>
    <w:p w14:paraId="6CD22FDE" w14:textId="07DBC434" w:rsidR="009B0180" w:rsidRDefault="009F6AB3" w:rsidP="00811433">
      <w:pPr>
        <w:pStyle w:val="BodyText"/>
        <w:spacing w:line="240" w:lineRule="auto"/>
        <w:ind w:left="720"/>
        <w:rPr>
          <w:rFonts w:ascii="Times" w:hAnsi="Times"/>
        </w:rPr>
      </w:pPr>
      <w:r>
        <w:rPr>
          <w:rFonts w:ascii="Times" w:hAnsi="Times"/>
        </w:rPr>
        <w:t>It is important that teachers of the subject continue to support the development of pupils’ key skills, including literacy and numeracy in primary and secondary schools. However, for all involved in art, craft and design education, drawing is a key skill. Teaching all pupils to draw with confidence and creativity was too low a priority in too many schools. If art, craft and design education is to play a full part in helping pupils ‘make a mark’ in the future, drawing can no longer remain a concern without a cause.</w:t>
      </w:r>
    </w:p>
    <w:p w14:paraId="1502B1FF" w14:textId="77777777" w:rsidR="009A4A62" w:rsidRPr="0028255B" w:rsidRDefault="009A4A62" w:rsidP="009A4A62">
      <w:pPr>
        <w:pStyle w:val="BodyText"/>
        <w:spacing w:line="240" w:lineRule="auto"/>
        <w:rPr>
          <w:rFonts w:ascii="Times" w:hAnsi="Times"/>
        </w:rPr>
      </w:pPr>
    </w:p>
    <w:p w14:paraId="1563ED3A" w14:textId="77777777" w:rsidR="009A4A62" w:rsidRPr="00D12D6D" w:rsidRDefault="009A4A62" w:rsidP="009A4A62">
      <w:pPr>
        <w:pStyle w:val="BodyText"/>
        <w:spacing w:line="240" w:lineRule="auto"/>
        <w:rPr>
          <w:rFonts w:ascii="Times" w:hAnsi="Times"/>
          <w:color w:val="000000" w:themeColor="text1"/>
        </w:rPr>
      </w:pPr>
    </w:p>
    <w:p w14:paraId="53FC1176" w14:textId="21033CDB" w:rsidR="00780DDA" w:rsidRPr="00D12D6D" w:rsidRDefault="00780DDA" w:rsidP="00D54E21">
      <w:pPr>
        <w:spacing w:line="480" w:lineRule="auto"/>
        <w:rPr>
          <w:bCs/>
          <w:color w:val="000000" w:themeColor="text1"/>
        </w:rPr>
      </w:pPr>
      <w:r w:rsidRPr="00D12D6D">
        <w:rPr>
          <w:bCs/>
          <w:color w:val="000000" w:themeColor="text1"/>
        </w:rPr>
        <w:t>At the suggestion of one of the reviewers, some comment on the</w:t>
      </w:r>
      <w:r w:rsidR="00DE76BC" w:rsidRPr="00D12D6D">
        <w:rPr>
          <w:bCs/>
          <w:color w:val="000000" w:themeColor="text1"/>
        </w:rPr>
        <w:t xml:space="preserve"> </w:t>
      </w:r>
      <w:r w:rsidRPr="00D12D6D">
        <w:rPr>
          <w:bCs/>
          <w:color w:val="000000" w:themeColor="text1"/>
        </w:rPr>
        <w:t xml:space="preserve">Covid situation is offered here. </w:t>
      </w:r>
      <w:r w:rsidR="00DE76BC" w:rsidRPr="00D12D6D">
        <w:rPr>
          <w:bCs/>
          <w:color w:val="000000" w:themeColor="text1"/>
        </w:rPr>
        <w:t>Although the</w:t>
      </w:r>
      <w:r w:rsidR="00041660" w:rsidRPr="00D12D6D">
        <w:rPr>
          <w:bCs/>
          <w:color w:val="000000" w:themeColor="text1"/>
        </w:rPr>
        <w:t xml:space="preserve"> traditional</w:t>
      </w:r>
      <w:r w:rsidR="00DE76BC" w:rsidRPr="00D12D6D">
        <w:rPr>
          <w:bCs/>
          <w:color w:val="000000" w:themeColor="text1"/>
        </w:rPr>
        <w:t xml:space="preserve"> studio context </w:t>
      </w:r>
      <w:r w:rsidR="00041660" w:rsidRPr="00D12D6D">
        <w:rPr>
          <w:bCs/>
          <w:color w:val="000000" w:themeColor="text1"/>
        </w:rPr>
        <w:t xml:space="preserve">of </w:t>
      </w:r>
      <w:r w:rsidR="00DE76BC" w:rsidRPr="00D12D6D">
        <w:rPr>
          <w:bCs/>
          <w:color w:val="000000" w:themeColor="text1"/>
        </w:rPr>
        <w:t xml:space="preserve">teaching drawing might be </w:t>
      </w:r>
      <w:r w:rsidR="00F54231" w:rsidRPr="00D12D6D">
        <w:rPr>
          <w:bCs/>
          <w:color w:val="000000" w:themeColor="text1"/>
        </w:rPr>
        <w:t>subject to restrictions</w:t>
      </w:r>
      <w:r w:rsidR="00DE76BC" w:rsidRPr="00D12D6D">
        <w:rPr>
          <w:bCs/>
          <w:color w:val="000000" w:themeColor="text1"/>
        </w:rPr>
        <w:t xml:space="preserve"> </w:t>
      </w:r>
      <w:r w:rsidR="00041660" w:rsidRPr="00D12D6D">
        <w:rPr>
          <w:bCs/>
          <w:color w:val="000000" w:themeColor="text1"/>
        </w:rPr>
        <w:t>at the time of writing,</w:t>
      </w:r>
      <w:r w:rsidR="00DE76BC" w:rsidRPr="00D12D6D">
        <w:rPr>
          <w:bCs/>
          <w:color w:val="000000" w:themeColor="text1"/>
        </w:rPr>
        <w:t xml:space="preserve"> th</w:t>
      </w:r>
      <w:r w:rsidR="009A3217" w:rsidRPr="00D12D6D">
        <w:rPr>
          <w:bCs/>
          <w:color w:val="000000" w:themeColor="text1"/>
        </w:rPr>
        <w:t>e fundamental premise of observational drawing</w:t>
      </w:r>
      <w:r w:rsidR="00B07944" w:rsidRPr="00D12D6D">
        <w:rPr>
          <w:bCs/>
          <w:color w:val="000000" w:themeColor="text1"/>
        </w:rPr>
        <w:t>,</w:t>
      </w:r>
      <w:r w:rsidR="009A3217" w:rsidRPr="00D12D6D">
        <w:rPr>
          <w:bCs/>
          <w:color w:val="000000" w:themeColor="text1"/>
        </w:rPr>
        <w:t xml:space="preserve"> </w:t>
      </w:r>
      <w:r w:rsidR="00B07944" w:rsidRPr="00D12D6D">
        <w:rPr>
          <w:bCs/>
          <w:color w:val="000000" w:themeColor="text1"/>
        </w:rPr>
        <w:t>the transformation of a 3-D scene into a 2-D representation</w:t>
      </w:r>
      <w:r w:rsidR="008C1EF3" w:rsidRPr="00D12D6D">
        <w:rPr>
          <w:bCs/>
          <w:color w:val="000000" w:themeColor="text1"/>
        </w:rPr>
        <w:t>, an exercise</w:t>
      </w:r>
      <w:r w:rsidR="00E57678" w:rsidRPr="00D12D6D">
        <w:rPr>
          <w:bCs/>
          <w:color w:val="000000" w:themeColor="text1"/>
        </w:rPr>
        <w:t xml:space="preserve"> which </w:t>
      </w:r>
      <w:r w:rsidR="00891567" w:rsidRPr="00D12D6D">
        <w:rPr>
          <w:bCs/>
          <w:color w:val="000000" w:themeColor="text1"/>
        </w:rPr>
        <w:t xml:space="preserve">nurtures an intelligence of seeing appliable to the full range of art and design disciplines, </w:t>
      </w:r>
      <w:r w:rsidR="009A3217" w:rsidRPr="00D12D6D">
        <w:rPr>
          <w:bCs/>
          <w:color w:val="000000" w:themeColor="text1"/>
        </w:rPr>
        <w:t>may still be explored</w:t>
      </w:r>
      <w:r w:rsidR="00B07944" w:rsidRPr="00D12D6D">
        <w:rPr>
          <w:bCs/>
          <w:color w:val="000000" w:themeColor="text1"/>
        </w:rPr>
        <w:t xml:space="preserve"> by students and encouraged</w:t>
      </w:r>
      <w:r w:rsidR="00471145" w:rsidRPr="00D12D6D">
        <w:rPr>
          <w:bCs/>
          <w:color w:val="000000" w:themeColor="text1"/>
        </w:rPr>
        <w:t>, guided</w:t>
      </w:r>
      <w:r w:rsidR="00B07944" w:rsidRPr="00D12D6D">
        <w:rPr>
          <w:bCs/>
          <w:color w:val="000000" w:themeColor="text1"/>
        </w:rPr>
        <w:t xml:space="preserve"> by tutors.</w:t>
      </w:r>
      <w:r w:rsidR="009A3217" w:rsidRPr="00D12D6D">
        <w:rPr>
          <w:bCs/>
          <w:color w:val="000000" w:themeColor="text1"/>
        </w:rPr>
        <w:t xml:space="preserve"> So long as students have access to basic drawing materials, </w:t>
      </w:r>
      <w:r w:rsidR="00F54231" w:rsidRPr="00D12D6D">
        <w:rPr>
          <w:bCs/>
          <w:color w:val="000000" w:themeColor="text1"/>
        </w:rPr>
        <w:t xml:space="preserve">and online </w:t>
      </w:r>
      <w:r w:rsidR="00012B48" w:rsidRPr="00D12D6D">
        <w:rPr>
          <w:bCs/>
          <w:color w:val="000000" w:themeColor="text1"/>
        </w:rPr>
        <w:t>communication platforms</w:t>
      </w:r>
      <w:r w:rsidR="00E32CCB" w:rsidRPr="00D12D6D">
        <w:rPr>
          <w:bCs/>
          <w:color w:val="000000" w:themeColor="text1"/>
        </w:rPr>
        <w:t xml:space="preserve"> for tutorial contact</w:t>
      </w:r>
      <w:r w:rsidR="00012B48" w:rsidRPr="00D12D6D">
        <w:rPr>
          <w:bCs/>
          <w:color w:val="000000" w:themeColor="text1"/>
        </w:rPr>
        <w:t>,</w:t>
      </w:r>
      <w:r w:rsidR="00F54231" w:rsidRPr="00D12D6D">
        <w:rPr>
          <w:bCs/>
          <w:color w:val="000000" w:themeColor="text1"/>
        </w:rPr>
        <w:t xml:space="preserve"> the probing of the perceptual process may continue</w:t>
      </w:r>
      <w:r w:rsidR="007B13C7" w:rsidRPr="00D12D6D">
        <w:rPr>
          <w:bCs/>
          <w:color w:val="000000" w:themeColor="text1"/>
        </w:rPr>
        <w:t xml:space="preserve"> wherever the student</w:t>
      </w:r>
      <w:r w:rsidR="00374580" w:rsidRPr="00D12D6D">
        <w:rPr>
          <w:bCs/>
          <w:color w:val="000000" w:themeColor="text1"/>
        </w:rPr>
        <w:t xml:space="preserve"> and tutor</w:t>
      </w:r>
      <w:r w:rsidR="007B13C7" w:rsidRPr="00D12D6D">
        <w:rPr>
          <w:bCs/>
          <w:color w:val="000000" w:themeColor="text1"/>
        </w:rPr>
        <w:t xml:space="preserve"> feel appropriate, and comfortable.</w:t>
      </w:r>
      <w:r w:rsidR="000E1C0B" w:rsidRPr="00D12D6D">
        <w:rPr>
          <w:bCs/>
          <w:color w:val="000000" w:themeColor="text1"/>
        </w:rPr>
        <w:t xml:space="preserve"> </w:t>
      </w:r>
    </w:p>
    <w:p w14:paraId="53D952DB" w14:textId="5FC8C679" w:rsidR="008F0207" w:rsidRPr="00041218" w:rsidRDefault="00B1179B" w:rsidP="003E67E1">
      <w:pPr>
        <w:spacing w:line="480" w:lineRule="auto"/>
        <w:rPr>
          <w:bCs/>
          <w:i/>
          <w:iCs/>
          <w:color w:val="FF0000"/>
        </w:rPr>
      </w:pPr>
      <w:r w:rsidRPr="00D12D6D">
        <w:rPr>
          <w:bCs/>
          <w:color w:val="000000" w:themeColor="text1"/>
        </w:rPr>
        <w:t>Finally, some observations of one of the authors, Darlington, on</w:t>
      </w:r>
      <w:r w:rsidR="00646460" w:rsidRPr="00D12D6D">
        <w:rPr>
          <w:bCs/>
          <w:color w:val="000000" w:themeColor="text1"/>
        </w:rPr>
        <w:t xml:space="preserve"> her</w:t>
      </w:r>
      <w:r w:rsidRPr="00D12D6D">
        <w:rPr>
          <w:bCs/>
          <w:color w:val="000000" w:themeColor="text1"/>
        </w:rPr>
        <w:t xml:space="preserve"> personal experiences:</w:t>
      </w:r>
      <w:r w:rsidR="008F0207" w:rsidRPr="003E67E1">
        <w:rPr>
          <w:color w:val="000000"/>
          <w:lang w:eastAsia="en-GB"/>
        </w:rPr>
        <w:br/>
      </w:r>
      <w:r w:rsidR="007A13C1" w:rsidRPr="00041218">
        <w:rPr>
          <w:i/>
          <w:iCs/>
          <w:color w:val="000000"/>
          <w:lang w:eastAsia="en-GB"/>
        </w:rPr>
        <w:t>One</w:t>
      </w:r>
      <w:r w:rsidR="008F0207" w:rsidRPr="00041218">
        <w:rPr>
          <w:i/>
          <w:iCs/>
          <w:color w:val="000000"/>
          <w:lang w:eastAsia="en-GB"/>
        </w:rPr>
        <w:t xml:space="preserve"> interesting development</w:t>
      </w:r>
      <w:r w:rsidR="00842B6F" w:rsidRPr="00041218">
        <w:rPr>
          <w:i/>
          <w:iCs/>
          <w:color w:val="000000"/>
          <w:lang w:eastAsia="en-GB"/>
        </w:rPr>
        <w:t xml:space="preserve"> which works remarkably well</w:t>
      </w:r>
      <w:r w:rsidR="007A13C1" w:rsidRPr="00041218">
        <w:rPr>
          <w:i/>
          <w:iCs/>
          <w:color w:val="000000"/>
          <w:lang w:eastAsia="en-GB"/>
        </w:rPr>
        <w:t xml:space="preserve"> is</w:t>
      </w:r>
      <w:r w:rsidR="008F0207" w:rsidRPr="00041218">
        <w:rPr>
          <w:i/>
          <w:iCs/>
          <w:color w:val="000000"/>
          <w:lang w:eastAsia="en-GB"/>
        </w:rPr>
        <w:t xml:space="preserve"> the use of webcams</w:t>
      </w:r>
      <w:r w:rsidR="00842B6F" w:rsidRPr="00041218">
        <w:rPr>
          <w:i/>
          <w:iCs/>
          <w:color w:val="000000"/>
          <w:lang w:eastAsia="en-GB"/>
        </w:rPr>
        <w:t xml:space="preserve"> with a</w:t>
      </w:r>
      <w:r w:rsidR="008F0207" w:rsidRPr="00041218">
        <w:rPr>
          <w:i/>
          <w:iCs/>
          <w:color w:val="000000"/>
          <w:lang w:eastAsia="en-GB"/>
        </w:rPr>
        <w:t xml:space="preserve"> live feed of instructors</w:t>
      </w:r>
      <w:r w:rsidR="00140D01" w:rsidRPr="00041218">
        <w:rPr>
          <w:i/>
          <w:iCs/>
          <w:color w:val="000000"/>
          <w:lang w:eastAsia="en-GB"/>
        </w:rPr>
        <w:t>’</w:t>
      </w:r>
      <w:r w:rsidR="008F0207" w:rsidRPr="00041218">
        <w:rPr>
          <w:i/>
          <w:iCs/>
          <w:color w:val="000000"/>
          <w:lang w:eastAsia="en-GB"/>
        </w:rPr>
        <w:t xml:space="preserve"> and participants</w:t>
      </w:r>
      <w:r w:rsidR="007A13C1" w:rsidRPr="00041218">
        <w:rPr>
          <w:i/>
          <w:iCs/>
          <w:color w:val="000000"/>
          <w:lang w:eastAsia="en-GB"/>
        </w:rPr>
        <w:t>’</w:t>
      </w:r>
      <w:r w:rsidR="008F0207" w:rsidRPr="00041218">
        <w:rPr>
          <w:i/>
          <w:iCs/>
          <w:color w:val="000000"/>
          <w:lang w:eastAsia="en-GB"/>
        </w:rPr>
        <w:t xml:space="preserve"> drawings.</w:t>
      </w:r>
      <w:r w:rsidR="00842B6F" w:rsidRPr="00041218">
        <w:rPr>
          <w:i/>
          <w:iCs/>
          <w:color w:val="000000"/>
          <w:lang w:eastAsia="en-GB"/>
        </w:rPr>
        <w:t xml:space="preserve"> </w:t>
      </w:r>
      <w:r w:rsidR="008F0207" w:rsidRPr="00041218">
        <w:rPr>
          <w:i/>
          <w:iCs/>
          <w:color w:val="000000"/>
          <w:lang w:eastAsia="en-GB"/>
        </w:rPr>
        <w:t>An</w:t>
      </w:r>
      <w:r w:rsidR="00335EA8" w:rsidRPr="00041218">
        <w:rPr>
          <w:i/>
          <w:iCs/>
          <w:color w:val="000000"/>
          <w:lang w:eastAsia="en-GB"/>
        </w:rPr>
        <w:t xml:space="preserve"> unexpected benefit</w:t>
      </w:r>
      <w:r w:rsidR="00646460" w:rsidRPr="00041218">
        <w:rPr>
          <w:i/>
          <w:iCs/>
          <w:color w:val="000000"/>
          <w:lang w:eastAsia="en-GB"/>
        </w:rPr>
        <w:t xml:space="preserve"> from</w:t>
      </w:r>
      <w:r w:rsidR="008F0207" w:rsidRPr="00041218">
        <w:rPr>
          <w:i/>
          <w:iCs/>
          <w:color w:val="000000"/>
          <w:lang w:eastAsia="en-GB"/>
        </w:rPr>
        <w:t xml:space="preserve"> leaving microphones unmuted while drawing together allows the sound of charcoal and pencils on paper to be shared, </w:t>
      </w:r>
      <w:r w:rsidR="00667C3B" w:rsidRPr="00041218">
        <w:rPr>
          <w:i/>
          <w:iCs/>
          <w:color w:val="000000"/>
          <w:lang w:eastAsia="en-GB"/>
        </w:rPr>
        <w:t>enhancing the sensory</w:t>
      </w:r>
      <w:r w:rsidR="00041218" w:rsidRPr="00041218">
        <w:rPr>
          <w:i/>
          <w:iCs/>
          <w:color w:val="000000"/>
          <w:lang w:eastAsia="en-GB"/>
        </w:rPr>
        <w:t xml:space="preserve"> ‘studio’</w:t>
      </w:r>
      <w:r w:rsidR="008F0207" w:rsidRPr="00041218">
        <w:rPr>
          <w:i/>
          <w:iCs/>
          <w:color w:val="000000"/>
          <w:lang w:eastAsia="en-GB"/>
        </w:rPr>
        <w:t xml:space="preserve"> atmosphere for drawers. </w:t>
      </w:r>
    </w:p>
    <w:p w14:paraId="5C7C71CA" w14:textId="5EF7FF71" w:rsidR="007A13C1" w:rsidRPr="00041218" w:rsidRDefault="008F0207" w:rsidP="003E67E1">
      <w:pPr>
        <w:spacing w:line="480" w:lineRule="auto"/>
        <w:rPr>
          <w:i/>
          <w:iCs/>
          <w:color w:val="000000"/>
          <w:shd w:val="clear" w:color="auto" w:fill="FFFFFF"/>
          <w:lang w:eastAsia="en-GB"/>
        </w:rPr>
      </w:pPr>
      <w:r w:rsidRPr="00041218">
        <w:rPr>
          <w:i/>
          <w:iCs/>
          <w:color w:val="000000"/>
          <w:shd w:val="clear" w:color="auto" w:fill="FFFFFF"/>
          <w:lang w:eastAsia="en-GB"/>
        </w:rPr>
        <w:t>Collaborative digital drawing tools like the Zoom whiteboard and others can be fun</w:t>
      </w:r>
      <w:r w:rsidR="00B515BB" w:rsidRPr="00041218">
        <w:rPr>
          <w:i/>
          <w:iCs/>
          <w:color w:val="000000"/>
          <w:shd w:val="clear" w:color="auto" w:fill="FFFFFF"/>
          <w:lang w:eastAsia="en-GB"/>
        </w:rPr>
        <w:t>;</w:t>
      </w:r>
      <w:r w:rsidRPr="00041218">
        <w:rPr>
          <w:i/>
          <w:iCs/>
          <w:color w:val="000000"/>
          <w:shd w:val="clear" w:color="auto" w:fill="FFFFFF"/>
          <w:lang w:eastAsia="en-GB"/>
        </w:rPr>
        <w:t xml:space="preserve"> trialled </w:t>
      </w:r>
      <w:r w:rsidR="00C93B73" w:rsidRPr="00041218">
        <w:rPr>
          <w:i/>
          <w:iCs/>
          <w:color w:val="000000"/>
          <w:shd w:val="clear" w:color="auto" w:fill="FFFFFF"/>
          <w:lang w:eastAsia="en-GB"/>
        </w:rPr>
        <w:t>during</w:t>
      </w:r>
      <w:r w:rsidRPr="00041218">
        <w:rPr>
          <w:i/>
          <w:iCs/>
          <w:color w:val="000000"/>
          <w:shd w:val="clear" w:color="auto" w:fill="FFFFFF"/>
          <w:lang w:eastAsia="en-GB"/>
        </w:rPr>
        <w:t xml:space="preserve"> </w:t>
      </w:r>
      <w:r w:rsidR="00C93B73" w:rsidRPr="00041218">
        <w:rPr>
          <w:i/>
          <w:iCs/>
          <w:color w:val="000000"/>
          <w:shd w:val="clear" w:color="auto" w:fill="FFFFFF"/>
          <w:lang w:eastAsia="en-GB"/>
        </w:rPr>
        <w:t xml:space="preserve">a recent Thinking Through Drawing </w:t>
      </w:r>
      <w:r w:rsidRPr="00041218">
        <w:rPr>
          <w:i/>
          <w:iCs/>
          <w:color w:val="000000"/>
          <w:shd w:val="clear" w:color="auto" w:fill="FFFFFF"/>
          <w:lang w:eastAsia="en-GB"/>
        </w:rPr>
        <w:t xml:space="preserve"> event, </w:t>
      </w:r>
      <w:r w:rsidR="00B515BB" w:rsidRPr="00041218">
        <w:rPr>
          <w:i/>
          <w:iCs/>
          <w:color w:val="000000"/>
          <w:shd w:val="clear" w:color="auto" w:fill="FFFFFF"/>
          <w:lang w:eastAsia="en-GB"/>
        </w:rPr>
        <w:t xml:space="preserve">it was found to </w:t>
      </w:r>
      <w:r w:rsidR="00C93B73" w:rsidRPr="00041218">
        <w:rPr>
          <w:i/>
          <w:iCs/>
          <w:color w:val="000000"/>
          <w:shd w:val="clear" w:color="auto" w:fill="FFFFFF"/>
          <w:lang w:eastAsia="en-GB"/>
        </w:rPr>
        <w:t>engender a collaborative</w:t>
      </w:r>
      <w:r w:rsidR="00B515BB" w:rsidRPr="00041218">
        <w:rPr>
          <w:i/>
          <w:iCs/>
          <w:color w:val="000000"/>
          <w:shd w:val="clear" w:color="auto" w:fill="FFFFFF"/>
          <w:lang w:eastAsia="en-GB"/>
        </w:rPr>
        <w:t xml:space="preserve"> atmosphere conducive to work. </w:t>
      </w:r>
      <w:r w:rsidR="001D7EAE" w:rsidRPr="00041218">
        <w:rPr>
          <w:i/>
          <w:iCs/>
          <w:color w:val="000000"/>
          <w:shd w:val="clear" w:color="auto" w:fill="FFFFFF"/>
          <w:lang w:eastAsia="en-GB"/>
        </w:rPr>
        <w:t>However, o</w:t>
      </w:r>
      <w:r w:rsidR="00B515BB" w:rsidRPr="00041218">
        <w:rPr>
          <w:i/>
          <w:iCs/>
          <w:color w:val="000000"/>
          <w:shd w:val="clear" w:color="auto" w:fill="FFFFFF"/>
          <w:lang w:eastAsia="en-GB"/>
        </w:rPr>
        <w:t>ne</w:t>
      </w:r>
      <w:r w:rsidRPr="00041218">
        <w:rPr>
          <w:i/>
          <w:iCs/>
          <w:color w:val="000000"/>
          <w:shd w:val="clear" w:color="auto" w:fill="FFFFFF"/>
          <w:lang w:eastAsia="en-GB"/>
        </w:rPr>
        <w:t xml:space="preserve"> int</w:t>
      </w:r>
      <w:r w:rsidR="00B515BB" w:rsidRPr="00041218">
        <w:rPr>
          <w:i/>
          <w:iCs/>
          <w:color w:val="000000"/>
          <w:shd w:val="clear" w:color="auto" w:fill="FFFFFF"/>
          <w:lang w:eastAsia="en-GB"/>
        </w:rPr>
        <w:t>riguing</w:t>
      </w:r>
      <w:r w:rsidRPr="00041218">
        <w:rPr>
          <w:i/>
          <w:iCs/>
          <w:color w:val="000000"/>
          <w:shd w:val="clear" w:color="auto" w:fill="FFFFFF"/>
          <w:lang w:eastAsia="en-GB"/>
        </w:rPr>
        <w:t xml:space="preserve"> </w:t>
      </w:r>
      <w:r w:rsidR="00B515BB" w:rsidRPr="00041218">
        <w:rPr>
          <w:i/>
          <w:iCs/>
          <w:color w:val="000000"/>
          <w:shd w:val="clear" w:color="auto" w:fill="FFFFFF"/>
          <w:lang w:eastAsia="en-GB"/>
        </w:rPr>
        <w:t>aspect</w:t>
      </w:r>
      <w:r w:rsidRPr="00041218">
        <w:rPr>
          <w:i/>
          <w:iCs/>
          <w:color w:val="000000"/>
          <w:shd w:val="clear" w:color="auto" w:fill="FFFFFF"/>
          <w:lang w:eastAsia="en-GB"/>
        </w:rPr>
        <w:t xml:space="preserve"> </w:t>
      </w:r>
      <w:r w:rsidR="006D771D" w:rsidRPr="00041218">
        <w:rPr>
          <w:i/>
          <w:iCs/>
          <w:color w:val="000000"/>
          <w:shd w:val="clear" w:color="auto" w:fill="FFFFFF"/>
          <w:lang w:eastAsia="en-GB"/>
        </w:rPr>
        <w:t>of the</w:t>
      </w:r>
      <w:r w:rsidRPr="00041218">
        <w:rPr>
          <w:i/>
          <w:iCs/>
          <w:color w:val="000000"/>
          <w:shd w:val="clear" w:color="auto" w:fill="FFFFFF"/>
          <w:lang w:eastAsia="en-GB"/>
        </w:rPr>
        <w:t xml:space="preserve"> Thinking through Drawing </w:t>
      </w:r>
      <w:r w:rsidR="00597D15" w:rsidRPr="00041218">
        <w:rPr>
          <w:i/>
          <w:iCs/>
          <w:color w:val="000000"/>
          <w:shd w:val="clear" w:color="auto" w:fill="FFFFFF"/>
          <w:lang w:eastAsia="en-GB"/>
        </w:rPr>
        <w:t xml:space="preserve">network </w:t>
      </w:r>
      <w:r w:rsidR="00B515BB" w:rsidRPr="00041218">
        <w:rPr>
          <w:i/>
          <w:iCs/>
          <w:color w:val="000000"/>
          <w:shd w:val="clear" w:color="auto" w:fill="FFFFFF"/>
          <w:lang w:eastAsia="en-GB"/>
        </w:rPr>
        <w:t xml:space="preserve">virtual events </w:t>
      </w:r>
      <w:r w:rsidRPr="00041218">
        <w:rPr>
          <w:i/>
          <w:iCs/>
          <w:color w:val="000000"/>
          <w:shd w:val="clear" w:color="auto" w:fill="FFFFFF"/>
          <w:lang w:eastAsia="en-GB"/>
        </w:rPr>
        <w:t>is that</w:t>
      </w:r>
      <w:r w:rsidR="00B515BB" w:rsidRPr="00041218">
        <w:rPr>
          <w:i/>
          <w:iCs/>
          <w:color w:val="000000"/>
          <w:shd w:val="clear" w:color="auto" w:fill="FFFFFF"/>
          <w:lang w:eastAsia="en-GB"/>
        </w:rPr>
        <w:t xml:space="preserve"> the attendance</w:t>
      </w:r>
      <w:r w:rsidRPr="00041218">
        <w:rPr>
          <w:i/>
          <w:iCs/>
          <w:color w:val="000000"/>
          <w:shd w:val="clear" w:color="auto" w:fill="FFFFFF"/>
          <w:lang w:eastAsia="en-GB"/>
        </w:rPr>
        <w:t xml:space="preserve"> </w:t>
      </w:r>
      <w:r w:rsidR="001D7EAE" w:rsidRPr="00041218">
        <w:rPr>
          <w:i/>
          <w:iCs/>
          <w:color w:val="000000"/>
          <w:shd w:val="clear" w:color="auto" w:fill="FFFFFF"/>
          <w:lang w:eastAsia="en-GB"/>
        </w:rPr>
        <w:t>was</w:t>
      </w:r>
      <w:r w:rsidRPr="00041218">
        <w:rPr>
          <w:i/>
          <w:iCs/>
          <w:color w:val="000000"/>
          <w:shd w:val="clear" w:color="auto" w:fill="FFFFFF"/>
          <w:lang w:eastAsia="en-GB"/>
        </w:rPr>
        <w:t xml:space="preserve"> almost entirely women </w:t>
      </w:r>
      <w:r w:rsidR="001D7EAE" w:rsidRPr="00041218">
        <w:rPr>
          <w:i/>
          <w:iCs/>
          <w:color w:val="000000"/>
          <w:shd w:val="clear" w:color="auto" w:fill="FFFFFF"/>
          <w:lang w:eastAsia="en-GB"/>
        </w:rPr>
        <w:t>(</w:t>
      </w:r>
      <w:r w:rsidRPr="00041218">
        <w:rPr>
          <w:i/>
          <w:iCs/>
          <w:color w:val="000000"/>
          <w:shd w:val="clear" w:color="auto" w:fill="FFFFFF"/>
          <w:lang w:eastAsia="en-GB"/>
        </w:rPr>
        <w:t xml:space="preserve">we're not </w:t>
      </w:r>
      <w:r w:rsidRPr="00041218">
        <w:rPr>
          <w:i/>
          <w:iCs/>
          <w:color w:val="000000"/>
          <w:shd w:val="clear" w:color="auto" w:fill="FFFFFF"/>
          <w:lang w:eastAsia="en-GB"/>
        </w:rPr>
        <w:lastRenderedPageBreak/>
        <w:t>really sure why</w:t>
      </w:r>
      <w:r w:rsidR="001D7EAE" w:rsidRPr="00041218">
        <w:rPr>
          <w:i/>
          <w:iCs/>
          <w:color w:val="000000"/>
          <w:shd w:val="clear" w:color="auto" w:fill="FFFFFF"/>
          <w:lang w:eastAsia="en-GB"/>
        </w:rPr>
        <w:t>!</w:t>
      </w:r>
      <w:r w:rsidR="006D771D" w:rsidRPr="00041218">
        <w:rPr>
          <w:i/>
          <w:iCs/>
          <w:color w:val="000000"/>
          <w:shd w:val="clear" w:color="auto" w:fill="FFFFFF"/>
          <w:lang w:eastAsia="en-GB"/>
        </w:rPr>
        <w:t xml:space="preserve"> Suggestions welcome…</w:t>
      </w:r>
      <w:r w:rsidR="001D7EAE" w:rsidRPr="00041218">
        <w:rPr>
          <w:i/>
          <w:iCs/>
          <w:color w:val="000000"/>
          <w:shd w:val="clear" w:color="auto" w:fill="FFFFFF"/>
          <w:lang w:eastAsia="en-GB"/>
        </w:rPr>
        <w:t>)</w:t>
      </w:r>
      <w:r w:rsidRPr="00041218">
        <w:rPr>
          <w:i/>
          <w:iCs/>
          <w:color w:val="000000"/>
          <w:shd w:val="clear" w:color="auto" w:fill="FFFFFF"/>
          <w:lang w:eastAsia="en-GB"/>
        </w:rPr>
        <w:br/>
      </w:r>
      <w:r w:rsidR="001D7EAE" w:rsidRPr="00041218">
        <w:rPr>
          <w:i/>
          <w:iCs/>
          <w:color w:val="000000"/>
          <w:shd w:val="clear" w:color="auto" w:fill="FFFFFF"/>
          <w:lang w:eastAsia="en-GB"/>
        </w:rPr>
        <w:t>I</w:t>
      </w:r>
      <w:r w:rsidRPr="00041218">
        <w:rPr>
          <w:i/>
          <w:iCs/>
          <w:color w:val="000000"/>
          <w:shd w:val="clear" w:color="auto" w:fill="FFFFFF"/>
          <w:lang w:eastAsia="en-GB"/>
        </w:rPr>
        <w:t>t has been</w:t>
      </w:r>
      <w:r w:rsidR="001D7EAE" w:rsidRPr="00041218">
        <w:rPr>
          <w:i/>
          <w:iCs/>
          <w:color w:val="000000"/>
          <w:shd w:val="clear" w:color="auto" w:fill="FFFFFF"/>
          <w:lang w:eastAsia="en-GB"/>
        </w:rPr>
        <w:t xml:space="preserve"> liberating</w:t>
      </w:r>
      <w:r w:rsidRPr="00041218">
        <w:rPr>
          <w:i/>
          <w:iCs/>
          <w:color w:val="000000"/>
          <w:shd w:val="clear" w:color="auto" w:fill="FFFFFF"/>
          <w:lang w:eastAsia="en-GB"/>
        </w:rPr>
        <w:t xml:space="preserve"> to operate in a virtual space not mediated (controlled) by institution</w:t>
      </w:r>
      <w:r w:rsidR="001D7EAE" w:rsidRPr="00041218">
        <w:rPr>
          <w:i/>
          <w:iCs/>
          <w:color w:val="000000"/>
          <w:shd w:val="clear" w:color="auto" w:fill="FFFFFF"/>
          <w:lang w:eastAsia="en-GB"/>
        </w:rPr>
        <w:t>al restrictions</w:t>
      </w:r>
      <w:r w:rsidR="00D560D9" w:rsidRPr="00041218">
        <w:rPr>
          <w:i/>
          <w:iCs/>
          <w:color w:val="000000"/>
          <w:shd w:val="clear" w:color="auto" w:fill="FFFFFF"/>
          <w:lang w:eastAsia="en-GB"/>
        </w:rPr>
        <w:t xml:space="preserve"> which can often</w:t>
      </w:r>
      <w:r w:rsidRPr="00041218">
        <w:rPr>
          <w:i/>
          <w:iCs/>
          <w:color w:val="000000"/>
          <w:shd w:val="clear" w:color="auto" w:fill="FFFFFF"/>
          <w:lang w:eastAsia="en-GB"/>
        </w:rPr>
        <w:t xml:space="preserve"> involve negotiation with </w:t>
      </w:r>
      <w:r w:rsidR="00041218" w:rsidRPr="00041218">
        <w:rPr>
          <w:i/>
          <w:iCs/>
          <w:color w:val="000000"/>
          <w:shd w:val="clear" w:color="auto" w:fill="FFFFFF"/>
          <w:lang w:eastAsia="en-GB"/>
        </w:rPr>
        <w:t>estate</w:t>
      </w:r>
      <w:r w:rsidR="00D560D9" w:rsidRPr="00041218">
        <w:rPr>
          <w:i/>
          <w:iCs/>
          <w:color w:val="000000"/>
          <w:shd w:val="clear" w:color="auto" w:fill="FFFFFF"/>
          <w:lang w:eastAsia="en-GB"/>
        </w:rPr>
        <w:t xml:space="preserve"> administrators</w:t>
      </w:r>
      <w:r w:rsidRPr="00041218">
        <w:rPr>
          <w:i/>
          <w:iCs/>
          <w:color w:val="000000"/>
          <w:shd w:val="clear" w:color="auto" w:fill="FFFFFF"/>
          <w:lang w:eastAsia="en-GB"/>
        </w:rPr>
        <w:t xml:space="preserve">. </w:t>
      </w:r>
      <w:r w:rsidR="00D560D9" w:rsidRPr="00041218">
        <w:rPr>
          <w:i/>
          <w:iCs/>
          <w:color w:val="000000"/>
          <w:shd w:val="clear" w:color="auto" w:fill="FFFFFF"/>
          <w:lang w:eastAsia="en-GB"/>
        </w:rPr>
        <w:t>(</w:t>
      </w:r>
      <w:r w:rsidRPr="00041218">
        <w:rPr>
          <w:i/>
          <w:iCs/>
          <w:color w:val="000000"/>
          <w:shd w:val="clear" w:color="auto" w:fill="FFFFFF"/>
          <w:lang w:eastAsia="en-GB"/>
        </w:rPr>
        <w:t xml:space="preserve">I hadn't really thought about this aspect before, so </w:t>
      </w:r>
      <w:r w:rsidR="00D560D9" w:rsidRPr="00041218">
        <w:rPr>
          <w:i/>
          <w:iCs/>
          <w:color w:val="000000"/>
          <w:shd w:val="clear" w:color="auto" w:fill="FFFFFF"/>
          <w:lang w:eastAsia="en-GB"/>
        </w:rPr>
        <w:t>i</w:t>
      </w:r>
      <w:r w:rsidRPr="00041218">
        <w:rPr>
          <w:i/>
          <w:iCs/>
          <w:color w:val="000000"/>
          <w:shd w:val="clear" w:color="auto" w:fill="FFFFFF"/>
          <w:lang w:eastAsia="en-GB"/>
        </w:rPr>
        <w:t>t's interesting to reflect on it.</w:t>
      </w:r>
      <w:r w:rsidR="00D560D9" w:rsidRPr="00041218">
        <w:rPr>
          <w:i/>
          <w:iCs/>
          <w:color w:val="000000"/>
          <w:shd w:val="clear" w:color="auto" w:fill="FFFFFF"/>
          <w:lang w:eastAsia="en-GB"/>
        </w:rPr>
        <w:t>)</w:t>
      </w:r>
      <w:r w:rsidRPr="00041218">
        <w:rPr>
          <w:i/>
          <w:iCs/>
          <w:color w:val="000000"/>
          <w:shd w:val="clear" w:color="auto" w:fill="FFFFFF"/>
          <w:lang w:eastAsia="en-GB"/>
        </w:rPr>
        <w:t> </w:t>
      </w:r>
      <w:r w:rsidRPr="00041218">
        <w:rPr>
          <w:i/>
          <w:iCs/>
          <w:color w:val="000000"/>
          <w:shd w:val="clear" w:color="auto" w:fill="FFFFFF"/>
          <w:lang w:eastAsia="en-GB"/>
        </w:rPr>
        <w:br/>
        <w:t>All in all, drawing online with others has been a much more positive experience than I would have predicted. W</w:t>
      </w:r>
      <w:r w:rsidR="00D560D9" w:rsidRPr="00041218">
        <w:rPr>
          <w:i/>
          <w:iCs/>
          <w:color w:val="000000"/>
          <w:shd w:val="clear" w:color="auto" w:fill="FFFFFF"/>
          <w:lang w:eastAsia="en-GB"/>
        </w:rPr>
        <w:t>hilst w</w:t>
      </w:r>
      <w:r w:rsidRPr="00041218">
        <w:rPr>
          <w:i/>
          <w:iCs/>
          <w:color w:val="000000"/>
          <w:shd w:val="clear" w:color="auto" w:fill="FFFFFF"/>
          <w:lang w:eastAsia="en-GB"/>
        </w:rPr>
        <w:t>e all agree</w:t>
      </w:r>
      <w:r w:rsidR="00D560D9" w:rsidRPr="00041218">
        <w:rPr>
          <w:i/>
          <w:iCs/>
          <w:color w:val="000000"/>
          <w:shd w:val="clear" w:color="auto" w:fill="FFFFFF"/>
          <w:lang w:eastAsia="en-GB"/>
        </w:rPr>
        <w:t xml:space="preserve"> that</w:t>
      </w:r>
      <w:r w:rsidRPr="00041218">
        <w:rPr>
          <w:i/>
          <w:iCs/>
          <w:color w:val="000000"/>
          <w:shd w:val="clear" w:color="auto" w:fill="FFFFFF"/>
          <w:lang w:eastAsia="en-GB"/>
        </w:rPr>
        <w:t xml:space="preserve"> we</w:t>
      </w:r>
      <w:r w:rsidR="00D560D9" w:rsidRPr="00041218">
        <w:rPr>
          <w:i/>
          <w:iCs/>
          <w:color w:val="000000"/>
          <w:shd w:val="clear" w:color="auto" w:fill="FFFFFF"/>
          <w:lang w:eastAsia="en-GB"/>
        </w:rPr>
        <w:t>’</w:t>
      </w:r>
      <w:r w:rsidRPr="00041218">
        <w:rPr>
          <w:i/>
          <w:iCs/>
          <w:color w:val="000000"/>
          <w:shd w:val="clear" w:color="auto" w:fill="FFFFFF"/>
          <w:lang w:eastAsia="en-GB"/>
        </w:rPr>
        <w:t>re desperate to draw together in person again, we also wish to continue with the online workshops occasionally</w:t>
      </w:r>
      <w:r w:rsidR="00D560D9" w:rsidRPr="00041218">
        <w:rPr>
          <w:i/>
          <w:iCs/>
          <w:color w:val="000000"/>
          <w:shd w:val="clear" w:color="auto" w:fill="FFFFFF"/>
          <w:lang w:eastAsia="en-GB"/>
        </w:rPr>
        <w:t>,</w:t>
      </w:r>
      <w:r w:rsidRPr="00041218">
        <w:rPr>
          <w:i/>
          <w:iCs/>
          <w:color w:val="000000"/>
          <w:shd w:val="clear" w:color="auto" w:fill="FFFFFF"/>
          <w:lang w:eastAsia="en-GB"/>
        </w:rPr>
        <w:t xml:space="preserve"> because it is a good way to connect with</w:t>
      </w:r>
      <w:r w:rsidR="003E67E1" w:rsidRPr="00041218">
        <w:rPr>
          <w:i/>
          <w:iCs/>
          <w:color w:val="000000"/>
          <w:shd w:val="clear" w:color="auto" w:fill="FFFFFF"/>
          <w:lang w:eastAsia="en-GB"/>
        </w:rPr>
        <w:t xml:space="preserve"> those situated in</w:t>
      </w:r>
      <w:r w:rsidRPr="00041218">
        <w:rPr>
          <w:i/>
          <w:iCs/>
          <w:color w:val="000000"/>
          <w:shd w:val="clear" w:color="auto" w:fill="FFFFFF"/>
          <w:lang w:eastAsia="en-GB"/>
        </w:rPr>
        <w:t xml:space="preserve"> </w:t>
      </w:r>
      <w:r w:rsidR="003E67E1" w:rsidRPr="00041218">
        <w:rPr>
          <w:i/>
          <w:iCs/>
          <w:color w:val="000000"/>
          <w:shd w:val="clear" w:color="auto" w:fill="FFFFFF"/>
          <w:lang w:eastAsia="en-GB"/>
        </w:rPr>
        <w:t>remote areas</w:t>
      </w:r>
      <w:r w:rsidRPr="00041218">
        <w:rPr>
          <w:i/>
          <w:iCs/>
          <w:color w:val="000000"/>
          <w:shd w:val="clear" w:color="auto" w:fill="FFFFFF"/>
          <w:lang w:eastAsia="en-GB"/>
        </w:rPr>
        <w:t xml:space="preserve"> who</w:t>
      </w:r>
      <w:r w:rsidR="003E67E1" w:rsidRPr="00041218">
        <w:rPr>
          <w:i/>
          <w:iCs/>
          <w:color w:val="000000"/>
          <w:shd w:val="clear" w:color="auto" w:fill="FFFFFF"/>
          <w:lang w:eastAsia="en-GB"/>
        </w:rPr>
        <w:t xml:space="preserve"> would otherwise miss the opportunities to participate and contribute.</w:t>
      </w:r>
      <w:r w:rsidRPr="00041218">
        <w:rPr>
          <w:i/>
          <w:iCs/>
          <w:color w:val="000000"/>
          <w:shd w:val="clear" w:color="auto" w:fill="FFFFFF"/>
          <w:lang w:eastAsia="en-GB"/>
        </w:rPr>
        <w:t xml:space="preserve">  </w:t>
      </w:r>
    </w:p>
    <w:p w14:paraId="4DC78EF1" w14:textId="7899B605" w:rsidR="008F0207" w:rsidRPr="00D12D6D" w:rsidRDefault="003E67E1" w:rsidP="003E67E1">
      <w:pPr>
        <w:spacing w:line="480" w:lineRule="auto"/>
        <w:rPr>
          <w:color w:val="000000" w:themeColor="text1"/>
          <w:lang w:eastAsia="en-GB"/>
        </w:rPr>
      </w:pPr>
      <w:r w:rsidRPr="00D12D6D">
        <w:rPr>
          <w:bCs/>
          <w:color w:val="000000" w:themeColor="text1"/>
        </w:rPr>
        <w:t>So w</w:t>
      </w:r>
      <w:r w:rsidR="007A13C1" w:rsidRPr="00D12D6D">
        <w:rPr>
          <w:bCs/>
          <w:color w:val="000000" w:themeColor="text1"/>
        </w:rPr>
        <w:t xml:space="preserve">hilst the pandemic prevails, let’s for once utilise the digital environment’s powerful portals to their full  educational potential: </w:t>
      </w:r>
      <w:r w:rsidR="007A13C1" w:rsidRPr="00D12D6D">
        <w:rPr>
          <w:bCs/>
          <w:i/>
          <w:iCs/>
          <w:color w:val="000000" w:themeColor="text1"/>
        </w:rPr>
        <w:t>Teams, Zoom, Instagram</w:t>
      </w:r>
      <w:r w:rsidR="007A13C1" w:rsidRPr="00D12D6D">
        <w:rPr>
          <w:bCs/>
          <w:color w:val="000000" w:themeColor="text1"/>
        </w:rPr>
        <w:t xml:space="preserve"> communications are commonplace these days, and there is</w:t>
      </w:r>
      <w:r w:rsidR="00EA56BC" w:rsidRPr="00D12D6D">
        <w:rPr>
          <w:bCs/>
          <w:color w:val="000000" w:themeColor="text1"/>
        </w:rPr>
        <w:t xml:space="preserve"> additional</w:t>
      </w:r>
      <w:r w:rsidR="007A13C1" w:rsidRPr="00D12D6D">
        <w:rPr>
          <w:bCs/>
          <w:color w:val="000000" w:themeColor="text1"/>
        </w:rPr>
        <w:t xml:space="preserve"> evidence, taken from an anonymous paper one of the authors, Riley, recently reviewed for the </w:t>
      </w:r>
      <w:r w:rsidR="007A13C1" w:rsidRPr="00D12D6D">
        <w:rPr>
          <w:bCs/>
          <w:i/>
          <w:iCs/>
          <w:color w:val="000000" w:themeColor="text1"/>
        </w:rPr>
        <w:t>International Journal of Art &amp; Design Education,</w:t>
      </w:r>
      <w:r w:rsidR="007A13C1" w:rsidRPr="00D12D6D">
        <w:rPr>
          <w:bCs/>
          <w:color w:val="000000" w:themeColor="text1"/>
        </w:rPr>
        <w:t xml:space="preserve"> that “…digital networks  (</w:t>
      </w:r>
      <w:r w:rsidR="007A13C1" w:rsidRPr="00D12D6D">
        <w:rPr>
          <w:bCs/>
          <w:i/>
          <w:iCs/>
          <w:color w:val="000000" w:themeColor="text1"/>
        </w:rPr>
        <w:t xml:space="preserve">Instagram </w:t>
      </w:r>
      <w:r w:rsidR="007A13C1" w:rsidRPr="00D12D6D">
        <w:rPr>
          <w:bCs/>
          <w:color w:val="000000" w:themeColor="text1"/>
        </w:rPr>
        <w:t>used for crits) enabled valuable and accessible learning opportunities…”  It’s the drawing that matters!</w:t>
      </w:r>
    </w:p>
    <w:p w14:paraId="35139657" w14:textId="0B22E01B" w:rsidR="00FA4AFB" w:rsidRDefault="001260EF" w:rsidP="00FA4AFB">
      <w:pPr>
        <w:rPr>
          <w:b/>
        </w:rPr>
      </w:pPr>
      <w:r>
        <w:rPr>
          <w:b/>
        </w:rPr>
        <w:t>Endnote</w:t>
      </w:r>
      <w:r w:rsidR="009735BE">
        <w:rPr>
          <w:b/>
        </w:rPr>
        <w:t>s</w:t>
      </w:r>
    </w:p>
    <w:p w14:paraId="57562416" w14:textId="77777777" w:rsidR="00FA4AFB" w:rsidRDefault="00FA4AFB" w:rsidP="00FA4AFB">
      <w:pPr>
        <w:rPr>
          <w:color w:val="000000" w:themeColor="text1"/>
        </w:rPr>
      </w:pPr>
    </w:p>
    <w:p w14:paraId="41AD3A5E" w14:textId="656E5559" w:rsidR="00091A48" w:rsidRDefault="00091A48" w:rsidP="008A6B71">
      <w:r>
        <w:t>1 In the simplest terms, an intelligence of seeing may be understood as an awareness of the inter-relationships between ways of seeing, social belief systems and ways of drawing.</w:t>
      </w:r>
      <w:r w:rsidR="005D11A3">
        <w:t xml:space="preserve"> It is appliable to the full range of visual art activities, and essential for the design disciplines.</w:t>
      </w:r>
    </w:p>
    <w:p w14:paraId="2DA4EC8F" w14:textId="0E0E0162" w:rsidR="00091A48" w:rsidRPr="00764093" w:rsidRDefault="00091A48" w:rsidP="008A6B71">
      <w:r>
        <w:t xml:space="preserve">Adapting Robert </w:t>
      </w:r>
      <w:proofErr w:type="spellStart"/>
      <w:r>
        <w:t>Witkin’s</w:t>
      </w:r>
      <w:proofErr w:type="spellEnd"/>
      <w:r>
        <w:t xml:space="preserve"> (1974) terminology de</w:t>
      </w:r>
      <w:r w:rsidR="00A53BE7">
        <w:t>fining</w:t>
      </w:r>
      <w:r>
        <w:t xml:space="preserve"> an intelligence of feeling, it is </w:t>
      </w:r>
      <w:r w:rsidRPr="00764093">
        <w:t xml:space="preserve">the </w:t>
      </w:r>
      <w:r>
        <w:t xml:space="preserve">self’s </w:t>
      </w:r>
      <w:r w:rsidRPr="00764093">
        <w:t>organised process of subject-reflexive action</w:t>
      </w:r>
      <w:r>
        <w:t>, as opposed to subject-reaction, or ‘knee-jerk’</w:t>
      </w:r>
      <w:r w:rsidRPr="00764093">
        <w:t xml:space="preserve"> behaviour</w:t>
      </w:r>
      <w:r>
        <w:t>.</w:t>
      </w:r>
      <w:r w:rsidRPr="00764093">
        <w:t xml:space="preserve"> </w:t>
      </w:r>
      <w:r>
        <w:t>Subject-reflexive action is characterised</w:t>
      </w:r>
      <w:r w:rsidRPr="00764093">
        <w:t xml:space="preserve"> by a reciprocity between visual stimulus and response</w:t>
      </w:r>
      <w:r>
        <w:t>,</w:t>
      </w:r>
      <w:r w:rsidRPr="00764093">
        <w:t xml:space="preserve"> informed</w:t>
      </w:r>
      <w:r>
        <w:t xml:space="preserve"> </w:t>
      </w:r>
      <w:r w:rsidRPr="00764093">
        <w:t>by a sense of anticipation and understanding of future consequences of planned action</w:t>
      </w:r>
      <w:r>
        <w:t>,</w:t>
      </w:r>
      <w:r w:rsidRPr="00764093">
        <w:t xml:space="preserve"> as opposed to subject-reactive behaviour exemplified by the eye-blink in response to a puff of air (</w:t>
      </w:r>
      <w:proofErr w:type="spellStart"/>
      <w:r w:rsidRPr="00764093">
        <w:t>Witkin</w:t>
      </w:r>
      <w:proofErr w:type="spellEnd"/>
      <w:r w:rsidRPr="00764093">
        <w:t xml:space="preserve"> 1974:14).  In the context of visual art pedagogy, intelligence of seeing may be thought of as a cultural superstructure developed from two of the natural, basic human activities crucial to survival since at least Palaeolithic times; firstly, the perceiving of our environment and our individual positions within it, and secondly, the social drive to share – communicate – those perceptual experiences, exemplified by the early cave drawings. A first indicator of an intelligence of seeing would be evidence of a versatility of vision which transcends John Halverson’s (1992: 389) ‘fundamental features of visual perception… figure-ground distinction, Gestalt principles of closure and good continuation’</w:t>
      </w:r>
      <w:r>
        <w:t>. A</w:t>
      </w:r>
      <w:r w:rsidRPr="00764093">
        <w:t xml:space="preserve"> versatility informed by an awareness of how to change channels, as it were, so as to extract different levels of information – haptic, distal and proximal - from the scene observed. A </w:t>
      </w:r>
      <w:r w:rsidRPr="00764093">
        <w:lastRenderedPageBreak/>
        <w:t>second indicator would be evidence of an ability to communicate a range of drawn equivalences for the</w:t>
      </w:r>
      <w:r>
        <w:t xml:space="preserve"> variety of</w:t>
      </w:r>
      <w:r w:rsidRPr="00764093">
        <w:t xml:space="preserve"> perceptual experiences, relevant to the aims of the drawing, functioning to convey the response of the drawer as well as positioning viewers in terms of their mood and attitude towards the subject-matter represented in the work.</w:t>
      </w:r>
    </w:p>
    <w:p w14:paraId="2BE65348" w14:textId="57F51F8E" w:rsidR="00FA4AFB" w:rsidRPr="00420241" w:rsidRDefault="00FA4AFB" w:rsidP="00FA4AFB">
      <w:pPr>
        <w:rPr>
          <w:color w:val="000000" w:themeColor="text1"/>
        </w:rPr>
      </w:pPr>
    </w:p>
    <w:p w14:paraId="3EEB2C1C" w14:textId="4142E6BA" w:rsidR="00415EFE" w:rsidRDefault="00FA4AFB" w:rsidP="00415EFE">
      <w:pPr>
        <w:rPr>
          <w:color w:val="000000" w:themeColor="text1"/>
        </w:rPr>
      </w:pPr>
      <w:r>
        <w:rPr>
          <w:color w:val="000000" w:themeColor="text1"/>
        </w:rPr>
        <w:t>2</w:t>
      </w:r>
      <w:r w:rsidR="00415EFE">
        <w:rPr>
          <w:color w:val="000000" w:themeColor="text1"/>
        </w:rPr>
        <w:t xml:space="preserve"> A</w:t>
      </w:r>
      <w:r w:rsidR="000420F9">
        <w:rPr>
          <w:color w:val="000000" w:themeColor="text1"/>
        </w:rPr>
        <w:t xml:space="preserve"> drive</w:t>
      </w:r>
      <w:r w:rsidR="00415EFE">
        <w:rPr>
          <w:color w:val="000000" w:themeColor="text1"/>
        </w:rPr>
        <w:t xml:space="preserve"> </w:t>
      </w:r>
      <w:r w:rsidR="000420F9">
        <w:rPr>
          <w:color w:val="000000" w:themeColor="text1"/>
        </w:rPr>
        <w:t>with</w:t>
      </w:r>
      <w:r w:rsidR="00415EFE">
        <w:rPr>
          <w:color w:val="000000" w:themeColor="text1"/>
        </w:rPr>
        <w:t xml:space="preserve"> a long </w:t>
      </w:r>
      <w:r w:rsidR="000420F9">
        <w:rPr>
          <w:color w:val="000000" w:themeColor="text1"/>
        </w:rPr>
        <w:t>history</w:t>
      </w:r>
      <w:r w:rsidR="00415EFE">
        <w:rPr>
          <w:color w:val="000000" w:themeColor="text1"/>
        </w:rPr>
        <w:t>!</w:t>
      </w:r>
      <w:r w:rsidR="00415EFE" w:rsidRPr="00700DF2">
        <w:rPr>
          <w:color w:val="000000" w:themeColor="text1"/>
        </w:rPr>
        <w:t xml:space="preserve"> </w:t>
      </w:r>
      <w:r w:rsidR="004573F2" w:rsidRPr="00700DF2">
        <w:rPr>
          <w:color w:val="000000" w:themeColor="text1"/>
        </w:rPr>
        <w:t>In South Africa, a cross-hatched pattern drawn with ochre crayon on a silcrete flake is dated  73,000 years old (</w:t>
      </w:r>
      <w:proofErr w:type="spellStart"/>
      <w:r w:rsidR="004573F2" w:rsidRPr="00700DF2">
        <w:rPr>
          <w:color w:val="000000" w:themeColor="text1"/>
        </w:rPr>
        <w:t>Henshilwood</w:t>
      </w:r>
      <w:proofErr w:type="spellEnd"/>
      <w:r w:rsidR="004573F2" w:rsidRPr="00700DF2">
        <w:rPr>
          <w:color w:val="000000" w:themeColor="text1"/>
        </w:rPr>
        <w:t xml:space="preserve">, </w:t>
      </w:r>
      <w:proofErr w:type="spellStart"/>
      <w:r w:rsidR="004573F2" w:rsidRPr="00700DF2">
        <w:rPr>
          <w:color w:val="000000" w:themeColor="text1"/>
        </w:rPr>
        <w:t>d’Errico</w:t>
      </w:r>
      <w:proofErr w:type="spellEnd"/>
      <w:r w:rsidR="004573F2" w:rsidRPr="00700DF2">
        <w:rPr>
          <w:color w:val="000000" w:themeColor="text1"/>
        </w:rPr>
        <w:t xml:space="preserve"> et al. 2018). </w:t>
      </w:r>
      <w:r w:rsidR="00415EFE" w:rsidRPr="00B24264">
        <w:rPr>
          <w:color w:val="000000" w:themeColor="text1"/>
        </w:rPr>
        <w:t>Watch this space!</w:t>
      </w:r>
      <w:r w:rsidR="004573F2">
        <w:rPr>
          <w:color w:val="000000" w:themeColor="text1"/>
        </w:rPr>
        <w:t xml:space="preserve"> </w:t>
      </w:r>
      <w:r w:rsidR="00415EFE" w:rsidRPr="00376A78">
        <w:rPr>
          <w:color w:val="000000" w:themeColor="text1"/>
        </w:rPr>
        <w:t>We were certainly drawing</w:t>
      </w:r>
      <w:r w:rsidR="00415EFE">
        <w:rPr>
          <w:color w:val="000000" w:themeColor="text1"/>
        </w:rPr>
        <w:t xml:space="preserve"> long</w:t>
      </w:r>
      <w:r w:rsidR="00415EFE" w:rsidRPr="00376A78">
        <w:rPr>
          <w:color w:val="000000" w:themeColor="text1"/>
        </w:rPr>
        <w:t xml:space="preserve"> before we were writing</w:t>
      </w:r>
      <w:r w:rsidR="00415EFE">
        <w:rPr>
          <w:color w:val="000000" w:themeColor="text1"/>
        </w:rPr>
        <w:t>;</w:t>
      </w:r>
      <w:r w:rsidR="00415EFE" w:rsidRPr="00376A78">
        <w:rPr>
          <w:color w:val="000000" w:themeColor="text1"/>
        </w:rPr>
        <w:t xml:space="preserve"> </w:t>
      </w:r>
      <w:r w:rsidR="00415EFE">
        <w:rPr>
          <w:color w:val="000000" w:themeColor="text1"/>
        </w:rPr>
        <w:t xml:space="preserve">Denise </w:t>
      </w:r>
      <w:proofErr w:type="spellStart"/>
      <w:r w:rsidR="00415EFE">
        <w:rPr>
          <w:color w:val="000000" w:themeColor="text1"/>
        </w:rPr>
        <w:t>Schmandt-Besserat</w:t>
      </w:r>
      <w:proofErr w:type="spellEnd"/>
      <w:r w:rsidR="00415EFE">
        <w:rPr>
          <w:color w:val="000000" w:themeColor="text1"/>
        </w:rPr>
        <w:t xml:space="preserve"> (</w:t>
      </w:r>
      <w:proofErr w:type="spellStart"/>
      <w:r w:rsidR="00415EFE">
        <w:rPr>
          <w:color w:val="000000" w:themeColor="text1"/>
        </w:rPr>
        <w:t>n.d</w:t>
      </w:r>
      <w:proofErr w:type="spellEnd"/>
      <w:r w:rsidR="00415EFE">
        <w:rPr>
          <w:color w:val="000000" w:themeColor="text1"/>
        </w:rPr>
        <w:t xml:space="preserve">: 6) suggests a date of c.5,000 BP in Mesopotamia for the first writing – codified marks upon a surface - to represent speech. </w:t>
      </w:r>
      <w:r w:rsidR="00415EFE" w:rsidRPr="00376A78">
        <w:rPr>
          <w:color w:val="000000" w:themeColor="text1"/>
        </w:rPr>
        <w:t xml:space="preserve">In fact, our </w:t>
      </w:r>
      <w:r w:rsidR="00415EFE">
        <w:rPr>
          <w:color w:val="000000" w:themeColor="text1"/>
        </w:rPr>
        <w:t>fac</w:t>
      </w:r>
      <w:r w:rsidR="00415EFE" w:rsidRPr="00376A78">
        <w:rPr>
          <w:color w:val="000000" w:themeColor="text1"/>
        </w:rPr>
        <w:t xml:space="preserve">ility </w:t>
      </w:r>
      <w:r w:rsidR="00415EFE">
        <w:rPr>
          <w:color w:val="000000" w:themeColor="text1"/>
        </w:rPr>
        <w:t>f</w:t>
      </w:r>
      <w:r w:rsidR="00415EFE" w:rsidRPr="00376A78">
        <w:rPr>
          <w:color w:val="000000" w:themeColor="text1"/>
        </w:rPr>
        <w:t>o</w:t>
      </w:r>
      <w:r w:rsidR="00415EFE">
        <w:rPr>
          <w:color w:val="000000" w:themeColor="text1"/>
        </w:rPr>
        <w:t>r</w:t>
      </w:r>
      <w:r w:rsidR="00415EFE" w:rsidRPr="00376A78">
        <w:rPr>
          <w:color w:val="000000" w:themeColor="text1"/>
        </w:rPr>
        <w:t xml:space="preserve"> depict</w:t>
      </w:r>
      <w:r w:rsidR="00415EFE">
        <w:rPr>
          <w:color w:val="000000" w:themeColor="text1"/>
        </w:rPr>
        <w:t>ion</w:t>
      </w:r>
      <w:r w:rsidR="00415EFE" w:rsidRPr="00376A78">
        <w:rPr>
          <w:color w:val="000000" w:themeColor="text1"/>
        </w:rPr>
        <w:t xml:space="preserve"> gave birth to the very notion of written language</w:t>
      </w:r>
      <w:r w:rsidR="00415EFE">
        <w:rPr>
          <w:color w:val="000000" w:themeColor="text1"/>
        </w:rPr>
        <w:t xml:space="preserve">. </w:t>
      </w:r>
      <w:proofErr w:type="spellStart"/>
      <w:r w:rsidR="00415EFE" w:rsidRPr="002F5A75">
        <w:rPr>
          <w:i/>
          <w:color w:val="000000" w:themeColor="text1"/>
        </w:rPr>
        <w:t>Visualcy</w:t>
      </w:r>
      <w:proofErr w:type="spellEnd"/>
      <w:r w:rsidR="00415EFE">
        <w:rPr>
          <w:i/>
          <w:color w:val="000000" w:themeColor="text1"/>
        </w:rPr>
        <w:t xml:space="preserve"> </w:t>
      </w:r>
      <w:r w:rsidR="00415EFE">
        <w:rPr>
          <w:color w:val="000000" w:themeColor="text1"/>
        </w:rPr>
        <w:t>preceded – facilitated – literacy.</w:t>
      </w:r>
    </w:p>
    <w:p w14:paraId="7E7B7BE3" w14:textId="77777777" w:rsidR="00EE2585" w:rsidRPr="00B95A2F" w:rsidRDefault="00EE2585" w:rsidP="00415EFE">
      <w:pPr>
        <w:rPr>
          <w:color w:val="000000" w:themeColor="text1"/>
        </w:rPr>
      </w:pPr>
    </w:p>
    <w:p w14:paraId="0C5F969D" w14:textId="27C74C63" w:rsidR="003634FE" w:rsidRPr="00A93624" w:rsidRDefault="00FA4AFB" w:rsidP="004B3F03">
      <w:pPr>
        <w:pStyle w:val="BodyText"/>
        <w:spacing w:line="240" w:lineRule="auto"/>
      </w:pPr>
      <w:r>
        <w:t>3</w:t>
      </w:r>
      <w:r w:rsidR="00EE2585">
        <w:t xml:space="preserve"> </w:t>
      </w:r>
      <w:r w:rsidR="00111824">
        <w:t>Riley</w:t>
      </w:r>
      <w:r w:rsidR="00EE2585">
        <w:t xml:space="preserve"> </w:t>
      </w:r>
      <w:r w:rsidR="00111824">
        <w:t xml:space="preserve">(2002:150) </w:t>
      </w:r>
      <w:r w:rsidR="00EE2585">
        <w:t xml:space="preserve">first proposed </w:t>
      </w:r>
      <w:proofErr w:type="spellStart"/>
      <w:r w:rsidR="00EE2585">
        <w:rPr>
          <w:i/>
        </w:rPr>
        <w:t>visualcy</w:t>
      </w:r>
      <w:proofErr w:type="spellEnd"/>
      <w:r w:rsidR="00EE2585">
        <w:rPr>
          <w:i/>
        </w:rPr>
        <w:t xml:space="preserve"> </w:t>
      </w:r>
      <w:r w:rsidR="00EE2585">
        <w:t>as an equivalent to literacy and numeracy some time ago</w:t>
      </w:r>
      <w:r w:rsidR="009936F8">
        <w:t>.</w:t>
      </w:r>
      <w:r w:rsidR="00EE2585">
        <w:t xml:space="preserve"> Since then, </w:t>
      </w:r>
      <w:r w:rsidR="00111824">
        <w:t>the</w:t>
      </w:r>
      <w:r w:rsidR="00EE2585">
        <w:t xml:space="preserve"> case for the neologism has been strengthened by W.J.T. Mitchell’s (2008:11) advocacy.</w:t>
      </w:r>
      <w:r w:rsidR="00A93624">
        <w:t xml:space="preserve"> </w:t>
      </w:r>
      <w:r w:rsidR="00387A89">
        <w:t>It relates specifically to the facility for analysing the</w:t>
      </w:r>
      <w:r w:rsidR="00597353">
        <w:t xml:space="preserve"> haptic, the distal and the proximal levels of</w:t>
      </w:r>
      <w:r w:rsidR="00387A89">
        <w:t xml:space="preserve"> information contained in the structure of the array</w:t>
      </w:r>
      <w:r w:rsidR="00597353">
        <w:t>s</w:t>
      </w:r>
      <w:r w:rsidR="00387A89">
        <w:t xml:space="preserve"> of light arriving at the eyes, and the translation of such information into drawn visual equivalents. </w:t>
      </w:r>
      <w:r w:rsidR="00A93624">
        <w:t xml:space="preserve">The term </w:t>
      </w:r>
      <w:r w:rsidR="00A93624">
        <w:rPr>
          <w:i/>
        </w:rPr>
        <w:t xml:space="preserve">graphicacy </w:t>
      </w:r>
      <w:r w:rsidR="00A93624">
        <w:t>is widely used in cross-curricula contexts, (</w:t>
      </w:r>
      <w:proofErr w:type="spellStart"/>
      <w:r w:rsidR="00D44508">
        <w:t>Danos</w:t>
      </w:r>
      <w:proofErr w:type="spellEnd"/>
      <w:r w:rsidR="00D44508">
        <w:t xml:space="preserve"> and Norman </w:t>
      </w:r>
      <w:r w:rsidR="00A93624">
        <w:t xml:space="preserve"> </w:t>
      </w:r>
      <w:r w:rsidR="00387A89">
        <w:t>2011</w:t>
      </w:r>
      <w:r w:rsidR="00A93624">
        <w:t>) and is here acknowledged as a useful term describing</w:t>
      </w:r>
      <w:r w:rsidR="000A10A6">
        <w:t xml:space="preserve"> a facility for</w:t>
      </w:r>
      <w:r w:rsidR="00A93624">
        <w:t xml:space="preserve"> </w:t>
      </w:r>
      <w:r w:rsidR="000A10A6">
        <w:t>the design of</w:t>
      </w:r>
      <w:r w:rsidR="00A93624">
        <w:t xml:space="preserve"> graphic </w:t>
      </w:r>
      <w:r w:rsidR="000A10A6">
        <w:t xml:space="preserve">means such as graphs, </w:t>
      </w:r>
      <w:r w:rsidR="009833BC">
        <w:t>charts</w:t>
      </w:r>
      <w:r w:rsidR="00BC45CF">
        <w:t>, maps and diagrams</w:t>
      </w:r>
      <w:r w:rsidR="00A93624">
        <w:t xml:space="preserve"> </w:t>
      </w:r>
      <w:r w:rsidR="00412E67">
        <w:t>used in</w:t>
      </w:r>
      <w:r w:rsidR="00A93624">
        <w:t xml:space="preserve"> the</w:t>
      </w:r>
      <w:r w:rsidR="00387A89">
        <w:t xml:space="preserve"> organisation</w:t>
      </w:r>
      <w:r w:rsidR="000A10A6">
        <w:t xml:space="preserve"> and</w:t>
      </w:r>
      <w:r w:rsidR="00A93624">
        <w:t xml:space="preserve"> communication of </w:t>
      </w:r>
      <w:r w:rsidR="00AC39DE">
        <w:t xml:space="preserve">non-visual </w:t>
      </w:r>
      <w:r w:rsidR="00A93624">
        <w:t>data gathered from</w:t>
      </w:r>
      <w:r w:rsidR="00D44508">
        <w:t xml:space="preserve"> activities not dependent upon direct visual perception</w:t>
      </w:r>
      <w:r w:rsidR="00804F0D">
        <w:t xml:space="preserve"> of the environment</w:t>
      </w:r>
      <w:r w:rsidR="00D44508">
        <w:t xml:space="preserve">. Its provenance is found in </w:t>
      </w:r>
      <w:proofErr w:type="spellStart"/>
      <w:r w:rsidR="00D44508">
        <w:t>Balchin</w:t>
      </w:r>
      <w:proofErr w:type="spellEnd"/>
      <w:r w:rsidR="00D44508">
        <w:t xml:space="preserve"> and Coleman (196</w:t>
      </w:r>
      <w:r w:rsidR="009833BC">
        <w:t>6</w:t>
      </w:r>
      <w:r w:rsidR="00D44508">
        <w:t>).</w:t>
      </w:r>
    </w:p>
    <w:p w14:paraId="4FD52807" w14:textId="77777777" w:rsidR="004B3F03" w:rsidRPr="00CF6EA5" w:rsidRDefault="004B3F03" w:rsidP="004B3F03">
      <w:pPr>
        <w:pStyle w:val="BodyText"/>
        <w:spacing w:line="240" w:lineRule="auto"/>
      </w:pPr>
    </w:p>
    <w:p w14:paraId="76A8C76B" w14:textId="7797B141" w:rsidR="004C2477" w:rsidRDefault="001260EF" w:rsidP="004B3F03">
      <w:pPr>
        <w:pStyle w:val="BodyText"/>
        <w:spacing w:line="240" w:lineRule="auto"/>
      </w:pPr>
      <w:r>
        <w:t xml:space="preserve"> </w:t>
      </w:r>
      <w:r w:rsidR="00766AC4">
        <w:t>4</w:t>
      </w:r>
      <w:r w:rsidR="004C2477">
        <w:t xml:space="preserve"> ‘</w:t>
      </w:r>
      <w:proofErr w:type="spellStart"/>
      <w:r w:rsidR="004C2477">
        <w:t>Altermodernism</w:t>
      </w:r>
      <w:proofErr w:type="spellEnd"/>
      <w:r w:rsidR="004C2477">
        <w:t>’ is a term coined by</w:t>
      </w:r>
      <w:r w:rsidR="00D17A99">
        <w:t xml:space="preserve"> curator</w:t>
      </w:r>
      <w:r w:rsidR="004C2477">
        <w:t xml:space="preserve"> Nicolas </w:t>
      </w:r>
      <w:proofErr w:type="spellStart"/>
      <w:r w:rsidR="004C2477">
        <w:t>Bourriaud</w:t>
      </w:r>
      <w:proofErr w:type="spellEnd"/>
      <w:r w:rsidR="004C2477">
        <w:t xml:space="preserve"> in 2009</w:t>
      </w:r>
      <w:r w:rsidR="00D17A99">
        <w:t xml:space="preserve"> on the occasion of the</w:t>
      </w:r>
      <w:r w:rsidR="004C2477">
        <w:t xml:space="preserve"> Tate </w:t>
      </w:r>
      <w:r w:rsidR="00D17A99">
        <w:rPr>
          <w:i/>
        </w:rPr>
        <w:t xml:space="preserve">Triennial </w:t>
      </w:r>
      <w:r w:rsidR="004C2477">
        <w:t xml:space="preserve">to </w:t>
      </w:r>
      <w:r w:rsidR="00DB06FD">
        <w:t>showcase</w:t>
      </w:r>
      <w:r w:rsidR="004C2477">
        <w:t xml:space="preserve"> art made as a </w:t>
      </w:r>
      <w:r w:rsidR="00B7760B">
        <w:t>comment on</w:t>
      </w:r>
      <w:r w:rsidR="004C2477">
        <w:t xml:space="preserve"> standardisation and commercialism, in the context of</w:t>
      </w:r>
      <w:r w:rsidR="00B7760B">
        <w:t xml:space="preserve"> neoliberalism and</w:t>
      </w:r>
      <w:r w:rsidR="004C2477">
        <w:t xml:space="preserve"> globalisation.</w:t>
      </w:r>
    </w:p>
    <w:p w14:paraId="41D69601" w14:textId="60458791" w:rsidR="003D7FDA" w:rsidRDefault="003D7FDA" w:rsidP="004B3F03">
      <w:pPr>
        <w:pStyle w:val="BodyText"/>
        <w:spacing w:line="240" w:lineRule="auto"/>
      </w:pPr>
    </w:p>
    <w:p w14:paraId="323C7206" w14:textId="5B6D368D" w:rsidR="00E81AF7" w:rsidRPr="00E81AF7" w:rsidRDefault="00767C68" w:rsidP="003D17FF">
      <w:pPr>
        <w:autoSpaceDE w:val="0"/>
        <w:autoSpaceDN w:val="0"/>
        <w:adjustRightInd w:val="0"/>
        <w:spacing w:line="480" w:lineRule="auto"/>
        <w:rPr>
          <w:rFonts w:eastAsiaTheme="minorEastAsia"/>
          <w:lang w:val="en-US"/>
        </w:rPr>
      </w:pPr>
      <w:r>
        <w:rPr>
          <w:b/>
        </w:rPr>
        <w:t>References</w:t>
      </w:r>
    </w:p>
    <w:p w14:paraId="3988564C" w14:textId="0424EA56" w:rsidR="00435DB5" w:rsidRDefault="00435DB5" w:rsidP="006461FF">
      <w:pPr>
        <w:autoSpaceDE w:val="0"/>
        <w:autoSpaceDN w:val="0"/>
        <w:adjustRightInd w:val="0"/>
        <w:rPr>
          <w:rFonts w:eastAsiaTheme="minorEastAsia"/>
          <w:lang w:val="en-US"/>
        </w:rPr>
      </w:pPr>
      <w:proofErr w:type="spellStart"/>
      <w:r>
        <w:rPr>
          <w:rFonts w:eastAsiaTheme="minorEastAsia"/>
          <w:lang w:val="en-US"/>
        </w:rPr>
        <w:t>Augar</w:t>
      </w:r>
      <w:proofErr w:type="spellEnd"/>
      <w:r>
        <w:rPr>
          <w:rFonts w:eastAsiaTheme="minorEastAsia"/>
          <w:lang w:val="en-US"/>
        </w:rPr>
        <w:t xml:space="preserve">, Philip </w:t>
      </w:r>
      <w:r w:rsidR="005D6B66">
        <w:rPr>
          <w:rFonts w:eastAsiaTheme="minorEastAsia"/>
          <w:lang w:val="en-US"/>
        </w:rPr>
        <w:t>(</w:t>
      </w:r>
      <w:r>
        <w:rPr>
          <w:rFonts w:eastAsiaTheme="minorEastAsia"/>
          <w:lang w:val="en-US"/>
        </w:rPr>
        <w:t>2019</w:t>
      </w:r>
      <w:r w:rsidR="005D6B66">
        <w:rPr>
          <w:rFonts w:eastAsiaTheme="minorEastAsia"/>
          <w:lang w:val="en-US"/>
        </w:rPr>
        <w:t>)</w:t>
      </w:r>
      <w:r w:rsidR="003D17FF">
        <w:rPr>
          <w:rFonts w:eastAsiaTheme="minorEastAsia"/>
          <w:lang w:val="en-US"/>
        </w:rPr>
        <w:t>,</w:t>
      </w:r>
      <w:r>
        <w:rPr>
          <w:rFonts w:eastAsiaTheme="minorEastAsia"/>
          <w:lang w:val="en-US"/>
        </w:rPr>
        <w:t xml:space="preserve"> </w:t>
      </w:r>
      <w:r>
        <w:rPr>
          <w:rFonts w:eastAsiaTheme="minorEastAsia"/>
          <w:i/>
          <w:lang w:val="en-US"/>
        </w:rPr>
        <w:t xml:space="preserve">Independent Panel Report to the Review of Post-18 Education and Funding. </w:t>
      </w:r>
      <w:r>
        <w:rPr>
          <w:rFonts w:eastAsiaTheme="minorEastAsia"/>
          <w:lang w:val="en-US"/>
        </w:rPr>
        <w:t xml:space="preserve">Available at: </w:t>
      </w:r>
      <w:r w:rsidR="00D44508" w:rsidRPr="003D17FF">
        <w:rPr>
          <w:rFonts w:eastAsiaTheme="minorEastAsia"/>
        </w:rPr>
        <w:t xml:space="preserve">www.gov.uk/government/publications Accessed </w:t>
      </w:r>
      <w:r w:rsidR="00E662F4">
        <w:rPr>
          <w:rFonts w:eastAsiaTheme="minorEastAsia"/>
          <w:lang w:val="en-US"/>
        </w:rPr>
        <w:t>13</w:t>
      </w:r>
      <w:r w:rsidR="00D44508" w:rsidRPr="003D17FF">
        <w:rPr>
          <w:rFonts w:eastAsiaTheme="minorEastAsia"/>
        </w:rPr>
        <w:t xml:space="preserve"> </w:t>
      </w:r>
      <w:r w:rsidR="00E662F4">
        <w:rPr>
          <w:rFonts w:eastAsiaTheme="minorEastAsia"/>
          <w:lang w:val="en-US"/>
        </w:rPr>
        <w:t>May</w:t>
      </w:r>
      <w:r w:rsidR="00D44508" w:rsidRPr="003D17FF">
        <w:rPr>
          <w:rFonts w:eastAsiaTheme="minorEastAsia"/>
        </w:rPr>
        <w:t xml:space="preserve"> 20</w:t>
      </w:r>
      <w:r w:rsidR="00E662F4">
        <w:rPr>
          <w:rFonts w:eastAsiaTheme="minorEastAsia"/>
          <w:lang w:val="en-US"/>
        </w:rPr>
        <w:t>21</w:t>
      </w:r>
    </w:p>
    <w:p w14:paraId="15708852" w14:textId="02C48B11" w:rsidR="00D44508" w:rsidRDefault="00D44508" w:rsidP="006461FF">
      <w:pPr>
        <w:autoSpaceDE w:val="0"/>
        <w:autoSpaceDN w:val="0"/>
        <w:adjustRightInd w:val="0"/>
        <w:rPr>
          <w:rFonts w:eastAsiaTheme="minorEastAsia"/>
          <w:lang w:val="en-US"/>
        </w:rPr>
      </w:pPr>
    </w:p>
    <w:p w14:paraId="4917ACF8" w14:textId="5E009AD1" w:rsidR="00D44508" w:rsidRPr="00D44508" w:rsidRDefault="00D44508" w:rsidP="006461FF">
      <w:pPr>
        <w:autoSpaceDE w:val="0"/>
        <w:autoSpaceDN w:val="0"/>
        <w:adjustRightInd w:val="0"/>
        <w:rPr>
          <w:rFonts w:eastAsiaTheme="minorEastAsia"/>
          <w:lang w:val="en-US"/>
        </w:rPr>
      </w:pPr>
      <w:proofErr w:type="spellStart"/>
      <w:r>
        <w:rPr>
          <w:rFonts w:eastAsiaTheme="minorEastAsia"/>
          <w:lang w:val="en-US"/>
        </w:rPr>
        <w:t>Balchin</w:t>
      </w:r>
      <w:proofErr w:type="spellEnd"/>
      <w:r>
        <w:rPr>
          <w:rFonts w:eastAsiaTheme="minorEastAsia"/>
          <w:lang w:val="en-US"/>
        </w:rPr>
        <w:t>, W.</w:t>
      </w:r>
      <w:r w:rsidR="009833BC">
        <w:rPr>
          <w:rFonts w:eastAsiaTheme="minorEastAsia"/>
          <w:lang w:val="en-US"/>
        </w:rPr>
        <w:t>G.V.</w:t>
      </w:r>
      <w:r>
        <w:rPr>
          <w:rFonts w:eastAsiaTheme="minorEastAsia"/>
          <w:lang w:val="en-US"/>
        </w:rPr>
        <w:t xml:space="preserve"> and Coleman, </w:t>
      </w:r>
      <w:r w:rsidR="009833BC">
        <w:rPr>
          <w:rFonts w:eastAsiaTheme="minorEastAsia"/>
          <w:lang w:val="en-US"/>
        </w:rPr>
        <w:t xml:space="preserve">Alice </w:t>
      </w:r>
      <w:r>
        <w:rPr>
          <w:rFonts w:eastAsiaTheme="minorEastAsia"/>
          <w:lang w:val="en-US"/>
        </w:rPr>
        <w:t xml:space="preserve">W. </w:t>
      </w:r>
      <w:r w:rsidR="005D6B66">
        <w:rPr>
          <w:rFonts w:eastAsiaTheme="minorEastAsia"/>
          <w:lang w:val="en-US"/>
        </w:rPr>
        <w:t>(</w:t>
      </w:r>
      <w:r>
        <w:rPr>
          <w:rFonts w:eastAsiaTheme="minorEastAsia"/>
          <w:lang w:val="en-US"/>
        </w:rPr>
        <w:t>196</w:t>
      </w:r>
      <w:r w:rsidR="009833BC">
        <w:rPr>
          <w:rFonts w:eastAsiaTheme="minorEastAsia"/>
          <w:lang w:val="en-US"/>
        </w:rPr>
        <w:t>6</w:t>
      </w:r>
      <w:r w:rsidR="005D6B66">
        <w:rPr>
          <w:rFonts w:eastAsiaTheme="minorEastAsia"/>
          <w:lang w:val="en-US"/>
        </w:rPr>
        <w:t>)</w:t>
      </w:r>
      <w:r w:rsidR="003D17FF">
        <w:rPr>
          <w:rFonts w:eastAsiaTheme="minorEastAsia"/>
          <w:lang w:val="en-US"/>
        </w:rPr>
        <w:t>,</w:t>
      </w:r>
      <w:r>
        <w:rPr>
          <w:rFonts w:eastAsiaTheme="minorEastAsia"/>
          <w:lang w:val="en-US"/>
        </w:rPr>
        <w:t xml:space="preserve"> </w:t>
      </w:r>
      <w:r w:rsidR="0072449C">
        <w:rPr>
          <w:rFonts w:eastAsiaTheme="minorEastAsia"/>
          <w:lang w:val="en-US"/>
        </w:rPr>
        <w:t>‘</w:t>
      </w:r>
      <w:r>
        <w:rPr>
          <w:rFonts w:eastAsiaTheme="minorEastAsia"/>
          <w:lang w:val="en-US"/>
        </w:rPr>
        <w:t>Graphicacy should be the fourth ace in the pack.</w:t>
      </w:r>
      <w:r w:rsidR="0072449C">
        <w:rPr>
          <w:rFonts w:eastAsiaTheme="minorEastAsia"/>
          <w:lang w:val="en-US"/>
        </w:rPr>
        <w:t>’</w:t>
      </w:r>
      <w:r w:rsidR="009833BC">
        <w:rPr>
          <w:rFonts w:eastAsiaTheme="minorEastAsia"/>
          <w:lang w:val="en-US"/>
        </w:rPr>
        <w:t xml:space="preserve"> </w:t>
      </w:r>
      <w:proofErr w:type="spellStart"/>
      <w:r w:rsidR="009833BC">
        <w:rPr>
          <w:rFonts w:eastAsiaTheme="minorEastAsia"/>
          <w:i/>
          <w:lang w:val="en-US"/>
        </w:rPr>
        <w:t>Cartographica</w:t>
      </w:r>
      <w:proofErr w:type="spellEnd"/>
      <w:r w:rsidR="009833BC">
        <w:rPr>
          <w:rFonts w:eastAsiaTheme="minorEastAsia"/>
          <w:i/>
          <w:lang w:val="en-US"/>
        </w:rPr>
        <w:t xml:space="preserve">: The International Journal for Geographic Information and </w:t>
      </w:r>
      <w:proofErr w:type="spellStart"/>
      <w:r w:rsidR="009833BC">
        <w:rPr>
          <w:rFonts w:eastAsiaTheme="minorEastAsia"/>
          <w:i/>
          <w:lang w:val="en-US"/>
        </w:rPr>
        <w:t>Geovisualisation</w:t>
      </w:r>
      <w:proofErr w:type="spellEnd"/>
      <w:r w:rsidR="009833BC">
        <w:rPr>
          <w:rFonts w:eastAsiaTheme="minorEastAsia"/>
          <w:i/>
          <w:lang w:val="en-US"/>
        </w:rPr>
        <w:t xml:space="preserve">. </w:t>
      </w:r>
      <w:r w:rsidR="009833BC">
        <w:rPr>
          <w:rFonts w:eastAsiaTheme="minorEastAsia"/>
          <w:lang w:val="en-US"/>
        </w:rPr>
        <w:t>3:1 pp23-8.</w:t>
      </w:r>
    </w:p>
    <w:p w14:paraId="138E1FBB" w14:textId="77777777" w:rsidR="00584A2B" w:rsidRDefault="00584A2B" w:rsidP="00435DB5">
      <w:pPr>
        <w:autoSpaceDE w:val="0"/>
        <w:autoSpaceDN w:val="0"/>
        <w:adjustRightInd w:val="0"/>
        <w:rPr>
          <w:rFonts w:eastAsiaTheme="minorEastAsia"/>
          <w:lang w:val="en-US"/>
        </w:rPr>
      </w:pPr>
    </w:p>
    <w:p w14:paraId="4AAB427C" w14:textId="1CE8A5C8" w:rsidR="00780A72" w:rsidRDefault="00780A72" w:rsidP="00E81DA9">
      <w:pPr>
        <w:pStyle w:val="BodyText"/>
        <w:tabs>
          <w:tab w:val="right" w:pos="9020"/>
        </w:tabs>
        <w:spacing w:line="240" w:lineRule="auto"/>
      </w:pPr>
      <w:r>
        <w:t xml:space="preserve">Browne, John </w:t>
      </w:r>
      <w:r w:rsidR="005D6B66">
        <w:t>(</w:t>
      </w:r>
      <w:r>
        <w:t>2010</w:t>
      </w:r>
      <w:r w:rsidR="005D6B66">
        <w:t>)</w:t>
      </w:r>
      <w:r w:rsidR="003D17FF">
        <w:t>,</w:t>
      </w:r>
      <w:r>
        <w:t xml:space="preserve"> </w:t>
      </w:r>
      <w:r w:rsidR="00E81DA9">
        <w:rPr>
          <w:i/>
        </w:rPr>
        <w:t>Securing a Sustainable Future for Higher Education.</w:t>
      </w:r>
      <w:r w:rsidR="00493E8B">
        <w:rPr>
          <w:i/>
        </w:rPr>
        <w:t xml:space="preserve"> An Independent Review of Higher Funding &amp; Student Finance.</w:t>
      </w:r>
      <w:r w:rsidR="00E81DA9">
        <w:rPr>
          <w:i/>
        </w:rPr>
        <w:t xml:space="preserve"> </w:t>
      </w:r>
      <w:r w:rsidR="00E81DA9">
        <w:t xml:space="preserve">Available at: </w:t>
      </w:r>
      <w:hyperlink r:id="rId12" w:history="1">
        <w:r w:rsidR="00E81DA9" w:rsidRPr="00584664">
          <w:rPr>
            <w:rStyle w:val="Hyperlink"/>
          </w:rPr>
          <w:t>www.independent.gov.uk/browne-report</w:t>
        </w:r>
      </w:hyperlink>
      <w:r w:rsidR="00E81DA9">
        <w:t xml:space="preserve">  Accessed </w:t>
      </w:r>
      <w:r w:rsidR="00E662F4">
        <w:t>1</w:t>
      </w:r>
      <w:r w:rsidR="00E81DA9">
        <w:t xml:space="preserve">3 </w:t>
      </w:r>
      <w:r w:rsidR="00E662F4">
        <w:t>May</w:t>
      </w:r>
      <w:r w:rsidR="00E81DA9">
        <w:t xml:space="preserve"> 20</w:t>
      </w:r>
      <w:r w:rsidR="00E662F4">
        <w:t>21</w:t>
      </w:r>
      <w:r w:rsidR="00E81DA9">
        <w:t>.</w:t>
      </w:r>
    </w:p>
    <w:p w14:paraId="5955B966" w14:textId="48B659C4" w:rsidR="00FC6D96" w:rsidRDefault="00FC6D96" w:rsidP="00E81DA9">
      <w:pPr>
        <w:pStyle w:val="BodyText"/>
        <w:tabs>
          <w:tab w:val="right" w:pos="9020"/>
        </w:tabs>
        <w:spacing w:line="240" w:lineRule="auto"/>
      </w:pPr>
    </w:p>
    <w:p w14:paraId="169E9AA2" w14:textId="56C7E5A8" w:rsidR="00FC6D96" w:rsidRPr="00FC6D96" w:rsidRDefault="00FC6D96" w:rsidP="00E81DA9">
      <w:pPr>
        <w:pStyle w:val="BodyText"/>
        <w:tabs>
          <w:tab w:val="right" w:pos="9020"/>
        </w:tabs>
        <w:spacing w:line="240" w:lineRule="auto"/>
      </w:pPr>
      <w:r>
        <w:t xml:space="preserve">Competition and Marketing Authority </w:t>
      </w:r>
      <w:r w:rsidR="00103EDE">
        <w:t>(</w:t>
      </w:r>
      <w:r>
        <w:t>2015</w:t>
      </w:r>
      <w:r w:rsidR="00103EDE">
        <w:t>)</w:t>
      </w:r>
      <w:r w:rsidR="003D17FF">
        <w:t>,</w:t>
      </w:r>
      <w:r>
        <w:t xml:space="preserve"> </w:t>
      </w:r>
      <w:r>
        <w:rPr>
          <w:i/>
          <w:iCs/>
        </w:rPr>
        <w:t xml:space="preserve">An Effective Regulatory Framework for Higher Education. </w:t>
      </w:r>
      <w:r>
        <w:t>London: UK Govt.</w:t>
      </w:r>
    </w:p>
    <w:p w14:paraId="14200696" w14:textId="2BA96376" w:rsidR="00854807" w:rsidRDefault="00854807" w:rsidP="00E81DA9">
      <w:pPr>
        <w:pStyle w:val="BodyText"/>
        <w:tabs>
          <w:tab w:val="right" w:pos="9020"/>
        </w:tabs>
        <w:spacing w:line="240" w:lineRule="auto"/>
      </w:pPr>
    </w:p>
    <w:p w14:paraId="64574AEA" w14:textId="7E5DBDF9" w:rsidR="003D66E4" w:rsidRDefault="00854807" w:rsidP="00783F6F">
      <w:pPr>
        <w:pStyle w:val="BodyText"/>
        <w:tabs>
          <w:tab w:val="right" w:pos="9020"/>
        </w:tabs>
        <w:spacing w:line="240" w:lineRule="auto"/>
        <w:rPr>
          <w:shd w:val="clear" w:color="auto" w:fill="F8F8F8"/>
        </w:rPr>
      </w:pPr>
      <w:proofErr w:type="spellStart"/>
      <w:r w:rsidRPr="003D66E4">
        <w:t>Danos</w:t>
      </w:r>
      <w:proofErr w:type="spellEnd"/>
      <w:r w:rsidRPr="003D66E4">
        <w:t>, X</w:t>
      </w:r>
      <w:r w:rsidR="0040717C">
        <w:t>enia</w:t>
      </w:r>
      <w:r w:rsidRPr="003D66E4">
        <w:t xml:space="preserve"> and Norman, E</w:t>
      </w:r>
      <w:r w:rsidR="0040717C">
        <w:t xml:space="preserve">dward </w:t>
      </w:r>
      <w:r w:rsidRPr="003D66E4">
        <w:t>W.</w:t>
      </w:r>
      <w:r w:rsidR="003D66E4" w:rsidRPr="003D66E4">
        <w:t>L.</w:t>
      </w:r>
      <w:r w:rsidRPr="003D66E4">
        <w:t xml:space="preserve"> </w:t>
      </w:r>
      <w:r w:rsidR="005D6B66">
        <w:t>(</w:t>
      </w:r>
      <w:r w:rsidR="003D66E4">
        <w:t>2011</w:t>
      </w:r>
      <w:r w:rsidR="005D6B66">
        <w:t>)</w:t>
      </w:r>
      <w:r w:rsidR="003D17FF">
        <w:t>,</w:t>
      </w:r>
      <w:r w:rsidR="003D66E4">
        <w:t xml:space="preserve"> </w:t>
      </w:r>
      <w:r w:rsidR="0072449C">
        <w:t>‘</w:t>
      </w:r>
      <w:r w:rsidRPr="003D66E4">
        <w:t>The development of a new taxonomy for graphicacy.</w:t>
      </w:r>
      <w:r w:rsidR="0072449C">
        <w:t>’</w:t>
      </w:r>
      <w:r w:rsidRPr="003D66E4">
        <w:t xml:space="preserve"> </w:t>
      </w:r>
      <w:r w:rsidR="00387A89">
        <w:t>In</w:t>
      </w:r>
      <w:r w:rsidR="005D6B66">
        <w:t xml:space="preserve"> </w:t>
      </w:r>
      <w:r w:rsidR="003D66E4" w:rsidRPr="00597353">
        <w:rPr>
          <w:shd w:val="clear" w:color="auto" w:fill="F8F8F8"/>
        </w:rPr>
        <w:t>N</w:t>
      </w:r>
      <w:r w:rsidR="003D66E4">
        <w:rPr>
          <w:shd w:val="clear" w:color="auto" w:fill="F8F8F8"/>
        </w:rPr>
        <w:t>orman</w:t>
      </w:r>
      <w:r w:rsidR="003D66E4" w:rsidRPr="00597353">
        <w:rPr>
          <w:shd w:val="clear" w:color="auto" w:fill="F8F8F8"/>
        </w:rPr>
        <w:t xml:space="preserve">, E.W.L. and </w:t>
      </w:r>
      <w:proofErr w:type="spellStart"/>
      <w:r w:rsidR="003D66E4" w:rsidRPr="00597353">
        <w:rPr>
          <w:shd w:val="clear" w:color="auto" w:fill="F8F8F8"/>
        </w:rPr>
        <w:t>S</w:t>
      </w:r>
      <w:r w:rsidR="003D66E4">
        <w:rPr>
          <w:shd w:val="clear" w:color="auto" w:fill="F8F8F8"/>
        </w:rPr>
        <w:t>eery</w:t>
      </w:r>
      <w:proofErr w:type="spellEnd"/>
      <w:r w:rsidR="003D66E4" w:rsidRPr="00597353">
        <w:rPr>
          <w:shd w:val="clear" w:color="auto" w:fill="F8F8F8"/>
        </w:rPr>
        <w:t xml:space="preserve">, N. (eds.) </w:t>
      </w:r>
      <w:r w:rsidR="003D66E4" w:rsidRPr="00597353">
        <w:rPr>
          <w:i/>
          <w:shd w:val="clear" w:color="auto" w:fill="F8F8F8"/>
        </w:rPr>
        <w:t>IDATER Online Conference: Graphicacy and Modelling 2010</w:t>
      </w:r>
      <w:r w:rsidR="003D66E4" w:rsidRPr="00597353">
        <w:rPr>
          <w:shd w:val="clear" w:color="auto" w:fill="F8F8F8"/>
        </w:rPr>
        <w:t>. Loughborough: Design Education Research Group, Loughborough Design School.</w:t>
      </w:r>
      <w:r w:rsidR="003D66E4">
        <w:rPr>
          <w:shd w:val="clear" w:color="auto" w:fill="F8F8F8"/>
        </w:rPr>
        <w:t xml:space="preserve"> pp69-</w:t>
      </w:r>
      <w:r w:rsidR="00387A89">
        <w:rPr>
          <w:shd w:val="clear" w:color="auto" w:fill="F8F8F8"/>
        </w:rPr>
        <w:t>84.</w:t>
      </w:r>
    </w:p>
    <w:p w14:paraId="7748AD16" w14:textId="3A25169F" w:rsidR="00DB27E3" w:rsidRDefault="00DB27E3" w:rsidP="00783F6F">
      <w:pPr>
        <w:pStyle w:val="BodyText"/>
        <w:tabs>
          <w:tab w:val="right" w:pos="9020"/>
        </w:tabs>
        <w:spacing w:line="240" w:lineRule="auto"/>
      </w:pPr>
    </w:p>
    <w:p w14:paraId="57D22F09" w14:textId="2E288038" w:rsidR="00DB27E3" w:rsidRPr="006363DA" w:rsidRDefault="00DB27E3" w:rsidP="00DB27E3">
      <w:pPr>
        <w:rPr>
          <w:color w:val="000000" w:themeColor="text1"/>
        </w:rPr>
      </w:pPr>
      <w:r w:rsidRPr="006363DA">
        <w:rPr>
          <w:color w:val="000000" w:themeColor="text1"/>
        </w:rPr>
        <w:t>Durham Commission (2019)</w:t>
      </w:r>
      <w:r w:rsidR="003D17FF">
        <w:rPr>
          <w:color w:val="000000" w:themeColor="text1"/>
        </w:rPr>
        <w:t>,</w:t>
      </w:r>
      <w:r w:rsidRPr="006363DA">
        <w:rPr>
          <w:color w:val="000000" w:themeColor="text1"/>
        </w:rPr>
        <w:t xml:space="preserve">  </w:t>
      </w:r>
      <w:r w:rsidRPr="006363DA">
        <w:rPr>
          <w:i/>
          <w:color w:val="000000" w:themeColor="text1"/>
        </w:rPr>
        <w:t xml:space="preserve">Durham Commission on Creativity and Education. </w:t>
      </w:r>
      <w:r w:rsidRPr="006363DA">
        <w:rPr>
          <w:color w:val="000000" w:themeColor="text1"/>
        </w:rPr>
        <w:t>London: Arts Council England</w:t>
      </w:r>
      <w:r w:rsidR="00A326E1" w:rsidRPr="006363DA">
        <w:rPr>
          <w:color w:val="000000" w:themeColor="text1"/>
        </w:rPr>
        <w:t>.</w:t>
      </w:r>
    </w:p>
    <w:p w14:paraId="3BE19306" w14:textId="77777777" w:rsidR="00DB27E3" w:rsidRPr="006363DA" w:rsidRDefault="00DB27E3" w:rsidP="00783F6F">
      <w:pPr>
        <w:pStyle w:val="BodyText"/>
        <w:tabs>
          <w:tab w:val="right" w:pos="9020"/>
        </w:tabs>
        <w:spacing w:line="240" w:lineRule="auto"/>
        <w:rPr>
          <w:color w:val="000000" w:themeColor="text1"/>
        </w:rPr>
      </w:pPr>
    </w:p>
    <w:p w14:paraId="70148C7D" w14:textId="6A8B2023" w:rsidR="00C10DEF" w:rsidRPr="006363DA" w:rsidRDefault="00C10DEF" w:rsidP="00CF3927">
      <w:pPr>
        <w:rPr>
          <w:color w:val="000000" w:themeColor="text1"/>
        </w:rPr>
      </w:pPr>
      <w:r w:rsidRPr="006363DA">
        <w:rPr>
          <w:color w:val="000000" w:themeColor="text1"/>
        </w:rPr>
        <w:t xml:space="preserve">Fan, Judith E. </w:t>
      </w:r>
      <w:r w:rsidR="005D6B66" w:rsidRPr="006363DA">
        <w:rPr>
          <w:color w:val="000000" w:themeColor="text1"/>
        </w:rPr>
        <w:t>(</w:t>
      </w:r>
      <w:r w:rsidRPr="006363DA">
        <w:rPr>
          <w:color w:val="000000" w:themeColor="text1"/>
        </w:rPr>
        <w:t>2015</w:t>
      </w:r>
      <w:r w:rsidR="005D6B66" w:rsidRPr="006363DA">
        <w:rPr>
          <w:color w:val="000000" w:themeColor="text1"/>
        </w:rPr>
        <w:t>)</w:t>
      </w:r>
      <w:r w:rsidR="003D17FF">
        <w:rPr>
          <w:color w:val="000000" w:themeColor="text1"/>
        </w:rPr>
        <w:t>,</w:t>
      </w:r>
      <w:r w:rsidR="00EE2ECB" w:rsidRPr="006363DA">
        <w:rPr>
          <w:color w:val="000000" w:themeColor="text1"/>
        </w:rPr>
        <w:t xml:space="preserve"> </w:t>
      </w:r>
      <w:r w:rsidR="0072449C">
        <w:rPr>
          <w:color w:val="000000" w:themeColor="text1"/>
        </w:rPr>
        <w:t>‘</w:t>
      </w:r>
      <w:r w:rsidR="00EE2ECB" w:rsidRPr="006363DA">
        <w:rPr>
          <w:color w:val="000000" w:themeColor="text1"/>
        </w:rPr>
        <w:t xml:space="preserve">Drawing to learn: how producing graphical representations enhances scientific thinking. </w:t>
      </w:r>
      <w:r w:rsidR="0072449C">
        <w:rPr>
          <w:color w:val="000000" w:themeColor="text1"/>
        </w:rPr>
        <w:t>‘</w:t>
      </w:r>
      <w:r w:rsidR="00EE2ECB" w:rsidRPr="006363DA">
        <w:rPr>
          <w:i/>
          <w:color w:val="000000" w:themeColor="text1"/>
        </w:rPr>
        <w:t xml:space="preserve">Translational Issues in Psychological Sciences </w:t>
      </w:r>
      <w:r w:rsidR="00EE2ECB" w:rsidRPr="006363DA">
        <w:rPr>
          <w:color w:val="000000" w:themeColor="text1"/>
        </w:rPr>
        <w:t>1</w:t>
      </w:r>
      <w:r w:rsidR="00783F6F" w:rsidRPr="006363DA">
        <w:rPr>
          <w:color w:val="000000" w:themeColor="text1"/>
        </w:rPr>
        <w:t>:</w:t>
      </w:r>
      <w:r w:rsidR="00EE2ECB" w:rsidRPr="006363DA">
        <w:rPr>
          <w:color w:val="000000" w:themeColor="text1"/>
        </w:rPr>
        <w:t>2 pp170-181.</w:t>
      </w:r>
    </w:p>
    <w:p w14:paraId="209C911F" w14:textId="31781A92" w:rsidR="00251D21" w:rsidRDefault="00251D21" w:rsidP="00CF3927"/>
    <w:p w14:paraId="482222ED" w14:textId="60A2BD54" w:rsidR="00035F54" w:rsidRDefault="00035F54" w:rsidP="00CF3927"/>
    <w:p w14:paraId="5E463A8C" w14:textId="475D5B66" w:rsidR="00035F54" w:rsidRDefault="00035F54" w:rsidP="00CF3927">
      <w:r>
        <w:t>Fava, Michelle</w:t>
      </w:r>
      <w:r w:rsidR="00814516">
        <w:t xml:space="preserve"> </w:t>
      </w:r>
      <w:r w:rsidR="005D6B66">
        <w:t>(</w:t>
      </w:r>
      <w:r w:rsidR="00814516">
        <w:t>2011</w:t>
      </w:r>
      <w:r w:rsidR="005D6B66">
        <w:t>)</w:t>
      </w:r>
      <w:r w:rsidR="003D17FF">
        <w:t>,</w:t>
      </w:r>
      <w:r w:rsidR="00814516">
        <w:t xml:space="preserve"> </w:t>
      </w:r>
      <w:r w:rsidR="0072449C">
        <w:t>‘</w:t>
      </w:r>
      <w:r w:rsidR="00814516">
        <w:t xml:space="preserve">What is the </w:t>
      </w:r>
      <w:r w:rsidR="00EE2585">
        <w:t>r</w:t>
      </w:r>
      <w:r w:rsidR="00814516">
        <w:t xml:space="preserve">ole of </w:t>
      </w:r>
      <w:r w:rsidR="00EE2585">
        <w:t>o</w:t>
      </w:r>
      <w:r w:rsidR="00814516">
        <w:t xml:space="preserve">bservational </w:t>
      </w:r>
      <w:r w:rsidR="00EE2585">
        <w:t>d</w:t>
      </w:r>
      <w:r w:rsidR="00814516">
        <w:t xml:space="preserve">rawing in </w:t>
      </w:r>
      <w:r w:rsidR="00EE2585">
        <w:t>c</w:t>
      </w:r>
      <w:r w:rsidR="00814516">
        <w:t xml:space="preserve">ontemporary </w:t>
      </w:r>
      <w:r w:rsidR="00EE2585">
        <w:t>a</w:t>
      </w:r>
      <w:r w:rsidR="00814516">
        <w:t xml:space="preserve">rt &amp; </w:t>
      </w:r>
      <w:r w:rsidR="00EE2585">
        <w:t>d</w:t>
      </w:r>
      <w:r w:rsidR="00814516">
        <w:t xml:space="preserve">esign </w:t>
      </w:r>
      <w:r w:rsidR="00EE2585">
        <w:t>c</w:t>
      </w:r>
      <w:r w:rsidR="00814516">
        <w:t>urricula?</w:t>
      </w:r>
      <w:r w:rsidR="0072449C">
        <w:t>’</w:t>
      </w:r>
      <w:r w:rsidR="00814516">
        <w:t xml:space="preserve"> In Norman, E.W.L. and </w:t>
      </w:r>
      <w:proofErr w:type="spellStart"/>
      <w:r w:rsidR="00814516">
        <w:t>Seery</w:t>
      </w:r>
      <w:proofErr w:type="spellEnd"/>
      <w:r w:rsidR="00814516">
        <w:t xml:space="preserve">, N. (eds.) </w:t>
      </w:r>
      <w:r w:rsidR="00814516">
        <w:rPr>
          <w:i/>
        </w:rPr>
        <w:t xml:space="preserve">IDATER Online Conference: Graphicacy and Modelling 2010. </w:t>
      </w:r>
      <w:r w:rsidR="00814516">
        <w:t>Loughborough: Design Education Research Group, Loughborough Design School. pp129-141.</w:t>
      </w:r>
    </w:p>
    <w:p w14:paraId="02B803DF" w14:textId="68792E24" w:rsidR="005F5BBB" w:rsidRDefault="005F5BBB" w:rsidP="00CF3927"/>
    <w:p w14:paraId="0BEC1AC3" w14:textId="5EFA52BA" w:rsidR="005F5BBB" w:rsidRPr="00814516" w:rsidRDefault="005F5BBB" w:rsidP="00CF3927">
      <w:r>
        <w:t xml:space="preserve">Fava, Michelle </w:t>
      </w:r>
      <w:r w:rsidR="005D6B66">
        <w:t>(</w:t>
      </w:r>
      <w:r>
        <w:t>2019</w:t>
      </w:r>
      <w:r w:rsidR="005D6B66">
        <w:t>)</w:t>
      </w:r>
      <w:r w:rsidR="003D17FF">
        <w:t>,</w:t>
      </w:r>
      <w:r>
        <w:t xml:space="preserve"> </w:t>
      </w:r>
      <w:r w:rsidR="0072449C">
        <w:t>‘</w:t>
      </w:r>
      <w:r>
        <w:t xml:space="preserve">A </w:t>
      </w:r>
      <w:r w:rsidR="00EE2585">
        <w:t>d</w:t>
      </w:r>
      <w:r>
        <w:t xml:space="preserve">ecline in </w:t>
      </w:r>
      <w:r w:rsidR="00EE2585">
        <w:t>d</w:t>
      </w:r>
      <w:r>
        <w:t xml:space="preserve">rawing </w:t>
      </w:r>
      <w:r w:rsidR="00EE2585">
        <w:t>a</w:t>
      </w:r>
      <w:r>
        <w:t>bility.</w:t>
      </w:r>
      <w:r w:rsidR="0072449C">
        <w:t>’</w:t>
      </w:r>
      <w:r>
        <w:t xml:space="preserve"> </w:t>
      </w:r>
      <w:r w:rsidR="00F061B4">
        <w:rPr>
          <w:i/>
        </w:rPr>
        <w:t>International Journal of Art &amp; Design Education</w:t>
      </w:r>
      <w:r w:rsidR="00F061B4">
        <w:t>.</w:t>
      </w:r>
      <w:r w:rsidR="008064AC">
        <w:t xml:space="preserve"> </w:t>
      </w:r>
      <w:r w:rsidR="008064AC" w:rsidRPr="008C1EF3">
        <w:rPr>
          <w:color w:val="000000" w:themeColor="text1"/>
        </w:rPr>
        <w:t>Vol.39 No.2 pp319-332.</w:t>
      </w:r>
    </w:p>
    <w:p w14:paraId="3A4A4498" w14:textId="77777777" w:rsidR="00CF3927" w:rsidRDefault="00CF3927" w:rsidP="00CF3927"/>
    <w:p w14:paraId="37A4498D" w14:textId="502FB379" w:rsidR="00F77736" w:rsidRPr="00903477" w:rsidRDefault="00F77736" w:rsidP="00FF4B69">
      <w:pPr>
        <w:pStyle w:val="BodyText"/>
      </w:pPr>
      <w:r>
        <w:t>F</w:t>
      </w:r>
      <w:r w:rsidR="00FB4AC8">
        <w:t>lew</w:t>
      </w:r>
      <w:r>
        <w:t>, T</w:t>
      </w:r>
      <w:r w:rsidR="00FB4AC8">
        <w:t>erry</w:t>
      </w:r>
      <w:r>
        <w:t xml:space="preserve"> </w:t>
      </w:r>
      <w:r w:rsidR="005D6B66">
        <w:t>(</w:t>
      </w:r>
      <w:r>
        <w:t>2014</w:t>
      </w:r>
      <w:r w:rsidR="005D6B66">
        <w:t>)</w:t>
      </w:r>
      <w:r w:rsidR="003D17FF">
        <w:t>,</w:t>
      </w:r>
      <w:r>
        <w:t xml:space="preserve"> </w:t>
      </w:r>
      <w:r w:rsidR="0072449C">
        <w:t>‘</w:t>
      </w:r>
      <w:r>
        <w:t xml:space="preserve">Six </w:t>
      </w:r>
      <w:r w:rsidR="00EE2585">
        <w:t>t</w:t>
      </w:r>
      <w:r>
        <w:t>heories of Neoliberalism</w:t>
      </w:r>
      <w:r w:rsidR="00B62D10">
        <w:t>.</w:t>
      </w:r>
      <w:r w:rsidR="0072449C">
        <w:t>’</w:t>
      </w:r>
      <w:r>
        <w:t xml:space="preserve"> </w:t>
      </w:r>
      <w:r>
        <w:rPr>
          <w:i/>
        </w:rPr>
        <w:t xml:space="preserve">Thesis Eleven </w:t>
      </w:r>
      <w:r>
        <w:t>122</w:t>
      </w:r>
      <w:r w:rsidR="0021282D">
        <w:t>:</w:t>
      </w:r>
      <w:r>
        <w:t xml:space="preserve">1 </w:t>
      </w:r>
      <w:r w:rsidR="0021282D">
        <w:t>pp</w:t>
      </w:r>
      <w:r>
        <w:t>49-71.</w:t>
      </w:r>
    </w:p>
    <w:p w14:paraId="78B632CC" w14:textId="10B122D5" w:rsidR="004E6CAE" w:rsidRDefault="004E6CAE" w:rsidP="00DB06FD">
      <w:pPr>
        <w:autoSpaceDE w:val="0"/>
        <w:autoSpaceDN w:val="0"/>
        <w:adjustRightInd w:val="0"/>
        <w:rPr>
          <w:rFonts w:eastAsiaTheme="minorEastAsia"/>
          <w:color w:val="000000" w:themeColor="text1"/>
          <w:lang w:val="en-US"/>
        </w:rPr>
      </w:pPr>
      <w:r w:rsidRPr="00696BCB">
        <w:rPr>
          <w:rFonts w:eastAsiaTheme="minorEastAsia"/>
          <w:color w:val="000000" w:themeColor="text1"/>
          <w:lang w:val="en-US"/>
        </w:rPr>
        <w:t>Gibson</w:t>
      </w:r>
      <w:r w:rsidR="00DB06FD" w:rsidRPr="00696BCB">
        <w:rPr>
          <w:rFonts w:eastAsiaTheme="minorEastAsia"/>
          <w:color w:val="000000" w:themeColor="text1"/>
          <w:lang w:val="en-US"/>
        </w:rPr>
        <w:t>, James J.</w:t>
      </w:r>
      <w:r w:rsidRPr="00696BCB">
        <w:rPr>
          <w:rFonts w:eastAsiaTheme="minorEastAsia"/>
          <w:color w:val="000000" w:themeColor="text1"/>
          <w:lang w:val="en-US"/>
        </w:rPr>
        <w:t xml:space="preserve"> </w:t>
      </w:r>
      <w:r w:rsidR="005D6B66">
        <w:rPr>
          <w:rFonts w:eastAsiaTheme="minorEastAsia"/>
          <w:color w:val="000000" w:themeColor="text1"/>
          <w:lang w:val="en-US"/>
        </w:rPr>
        <w:t>(</w:t>
      </w:r>
      <w:r w:rsidRPr="00696BCB">
        <w:rPr>
          <w:rFonts w:eastAsiaTheme="minorEastAsia"/>
          <w:color w:val="000000" w:themeColor="text1"/>
          <w:lang w:val="en-US"/>
        </w:rPr>
        <w:t>1979</w:t>
      </w:r>
      <w:r w:rsidR="005D6B66">
        <w:rPr>
          <w:rFonts w:eastAsiaTheme="minorEastAsia"/>
          <w:color w:val="000000" w:themeColor="text1"/>
          <w:lang w:val="en-US"/>
        </w:rPr>
        <w:t>)</w:t>
      </w:r>
      <w:r w:rsidR="003D17FF">
        <w:rPr>
          <w:rFonts w:eastAsiaTheme="minorEastAsia"/>
          <w:color w:val="000000" w:themeColor="text1"/>
          <w:lang w:val="en-US"/>
        </w:rPr>
        <w:t>,</w:t>
      </w:r>
      <w:r w:rsidR="00DB06FD" w:rsidRPr="00696BCB">
        <w:rPr>
          <w:rFonts w:eastAsiaTheme="minorEastAsia"/>
          <w:color w:val="000000" w:themeColor="text1"/>
          <w:lang w:val="en-US"/>
        </w:rPr>
        <w:t xml:space="preserve"> </w:t>
      </w:r>
      <w:r w:rsidR="00DB06FD" w:rsidRPr="00696BCB">
        <w:rPr>
          <w:rFonts w:eastAsiaTheme="minorEastAsia"/>
          <w:i/>
          <w:color w:val="000000" w:themeColor="text1"/>
          <w:lang w:val="en-US"/>
        </w:rPr>
        <w:t xml:space="preserve">The Ecological Approach to Visual Perception, </w:t>
      </w:r>
      <w:r w:rsidR="00DB06FD" w:rsidRPr="00696BCB">
        <w:rPr>
          <w:rFonts w:eastAsiaTheme="minorEastAsia"/>
          <w:color w:val="000000" w:themeColor="text1"/>
          <w:lang w:val="en-US"/>
        </w:rPr>
        <w:t>Boston MA: Houghton Mifflin.</w:t>
      </w:r>
    </w:p>
    <w:p w14:paraId="21E99704" w14:textId="1953277B" w:rsidR="00E2709B" w:rsidRDefault="00E2709B" w:rsidP="00DB06FD">
      <w:pPr>
        <w:autoSpaceDE w:val="0"/>
        <w:autoSpaceDN w:val="0"/>
        <w:adjustRightInd w:val="0"/>
        <w:rPr>
          <w:rFonts w:eastAsiaTheme="minorEastAsia"/>
          <w:color w:val="000000" w:themeColor="text1"/>
          <w:lang w:val="en-US"/>
        </w:rPr>
      </w:pPr>
    </w:p>
    <w:p w14:paraId="261E67E9" w14:textId="05BB9914" w:rsidR="00E2709B" w:rsidRPr="00532838" w:rsidRDefault="00E2709B" w:rsidP="00DB06FD">
      <w:pPr>
        <w:autoSpaceDE w:val="0"/>
        <w:autoSpaceDN w:val="0"/>
        <w:adjustRightInd w:val="0"/>
        <w:rPr>
          <w:rFonts w:eastAsiaTheme="minorEastAsia"/>
          <w:color w:val="000000" w:themeColor="text1"/>
          <w:lang w:val="en-US"/>
        </w:rPr>
      </w:pPr>
      <w:r w:rsidRPr="00532838">
        <w:rPr>
          <w:rFonts w:eastAsiaTheme="minorEastAsia"/>
          <w:color w:val="000000" w:themeColor="text1"/>
          <w:lang w:val="en-US"/>
        </w:rPr>
        <w:t xml:space="preserve">Gruening, G. </w:t>
      </w:r>
      <w:r w:rsidR="00103EDE">
        <w:rPr>
          <w:rFonts w:eastAsiaTheme="minorEastAsia"/>
          <w:color w:val="000000" w:themeColor="text1"/>
          <w:lang w:val="en-US"/>
        </w:rPr>
        <w:t>(</w:t>
      </w:r>
      <w:r w:rsidR="00B71C59" w:rsidRPr="00532838">
        <w:rPr>
          <w:rFonts w:eastAsiaTheme="minorEastAsia"/>
          <w:color w:val="000000" w:themeColor="text1"/>
          <w:lang w:val="en-US"/>
        </w:rPr>
        <w:t>2001</w:t>
      </w:r>
      <w:r w:rsidR="00103EDE">
        <w:rPr>
          <w:rFonts w:eastAsiaTheme="minorEastAsia"/>
          <w:color w:val="000000" w:themeColor="text1"/>
          <w:lang w:val="en-US"/>
        </w:rPr>
        <w:t>)</w:t>
      </w:r>
      <w:r w:rsidR="003D17FF">
        <w:rPr>
          <w:rFonts w:eastAsiaTheme="minorEastAsia"/>
          <w:color w:val="000000" w:themeColor="text1"/>
          <w:lang w:val="en-US"/>
        </w:rPr>
        <w:t>,</w:t>
      </w:r>
      <w:r w:rsidR="002128B3" w:rsidRPr="00532838">
        <w:rPr>
          <w:rFonts w:eastAsiaTheme="minorEastAsia"/>
          <w:color w:val="000000" w:themeColor="text1"/>
          <w:lang w:val="en-US"/>
        </w:rPr>
        <w:t xml:space="preserve"> </w:t>
      </w:r>
      <w:r w:rsidR="0072449C">
        <w:rPr>
          <w:rFonts w:eastAsiaTheme="minorEastAsia"/>
          <w:color w:val="000000" w:themeColor="text1"/>
          <w:lang w:val="en-US"/>
        </w:rPr>
        <w:t>‘</w:t>
      </w:r>
      <w:r w:rsidRPr="00532838">
        <w:rPr>
          <w:rFonts w:eastAsiaTheme="minorEastAsia"/>
          <w:color w:val="000000" w:themeColor="text1"/>
          <w:lang w:val="en-US"/>
        </w:rPr>
        <w:t>Origin and theoretical basis of New Public Management.</w:t>
      </w:r>
      <w:r w:rsidR="0072449C">
        <w:rPr>
          <w:rFonts w:eastAsiaTheme="minorEastAsia"/>
          <w:color w:val="000000" w:themeColor="text1"/>
          <w:lang w:val="en-US"/>
        </w:rPr>
        <w:t>’</w:t>
      </w:r>
      <w:r w:rsidRPr="00532838">
        <w:rPr>
          <w:rFonts w:eastAsiaTheme="minorEastAsia"/>
          <w:color w:val="000000" w:themeColor="text1"/>
          <w:lang w:val="en-US"/>
        </w:rPr>
        <w:t xml:space="preserve"> </w:t>
      </w:r>
      <w:r w:rsidRPr="00532838">
        <w:rPr>
          <w:rFonts w:eastAsiaTheme="minorEastAsia"/>
          <w:i/>
          <w:iCs/>
          <w:color w:val="000000" w:themeColor="text1"/>
          <w:lang w:val="en-US"/>
        </w:rPr>
        <w:t xml:space="preserve">International Public Management Journal </w:t>
      </w:r>
      <w:r w:rsidRPr="00532838">
        <w:rPr>
          <w:rFonts w:eastAsiaTheme="minorEastAsia"/>
          <w:color w:val="000000" w:themeColor="text1"/>
          <w:lang w:val="en-US"/>
        </w:rPr>
        <w:t>4 pp1-25.</w:t>
      </w:r>
    </w:p>
    <w:p w14:paraId="33CB993E" w14:textId="24C2BB63" w:rsidR="00E019EC" w:rsidRDefault="00E019EC" w:rsidP="00DB06FD">
      <w:pPr>
        <w:autoSpaceDE w:val="0"/>
        <w:autoSpaceDN w:val="0"/>
        <w:adjustRightInd w:val="0"/>
        <w:rPr>
          <w:rFonts w:eastAsiaTheme="minorEastAsia"/>
          <w:color w:val="000000" w:themeColor="text1"/>
          <w:lang w:val="en-US"/>
        </w:rPr>
      </w:pPr>
    </w:p>
    <w:p w14:paraId="5D9B92F7" w14:textId="59E7D103" w:rsidR="00E019EC" w:rsidRPr="00E019EC" w:rsidRDefault="00E019EC" w:rsidP="00DB06FD">
      <w:pPr>
        <w:autoSpaceDE w:val="0"/>
        <w:autoSpaceDN w:val="0"/>
        <w:adjustRightInd w:val="0"/>
        <w:rPr>
          <w:rFonts w:eastAsiaTheme="minorEastAsia"/>
          <w:color w:val="000000" w:themeColor="text1"/>
          <w:lang w:val="en-US"/>
        </w:rPr>
      </w:pPr>
      <w:r>
        <w:rPr>
          <w:rFonts w:eastAsiaTheme="minorEastAsia"/>
          <w:color w:val="000000" w:themeColor="text1"/>
          <w:lang w:val="en-US"/>
        </w:rPr>
        <w:t>Halliday, M</w:t>
      </w:r>
      <w:r w:rsidR="00E05B61">
        <w:rPr>
          <w:rFonts w:eastAsiaTheme="minorEastAsia"/>
          <w:color w:val="000000" w:themeColor="text1"/>
          <w:lang w:val="en-US"/>
        </w:rPr>
        <w:t xml:space="preserve">ichael </w:t>
      </w:r>
      <w:r>
        <w:rPr>
          <w:rFonts w:eastAsiaTheme="minorEastAsia"/>
          <w:color w:val="000000" w:themeColor="text1"/>
          <w:lang w:val="en-US"/>
        </w:rPr>
        <w:t xml:space="preserve">A.K. </w:t>
      </w:r>
      <w:r w:rsidR="005D6B66">
        <w:rPr>
          <w:rFonts w:eastAsiaTheme="minorEastAsia"/>
          <w:color w:val="000000" w:themeColor="text1"/>
          <w:lang w:val="en-US"/>
        </w:rPr>
        <w:t>(</w:t>
      </w:r>
      <w:r>
        <w:rPr>
          <w:rFonts w:eastAsiaTheme="minorEastAsia"/>
          <w:color w:val="000000" w:themeColor="text1"/>
          <w:lang w:val="en-US"/>
        </w:rPr>
        <w:t>1978</w:t>
      </w:r>
      <w:r w:rsidR="005D6B66">
        <w:rPr>
          <w:rFonts w:eastAsiaTheme="minorEastAsia"/>
          <w:color w:val="000000" w:themeColor="text1"/>
          <w:lang w:val="en-US"/>
        </w:rPr>
        <w:t>)</w:t>
      </w:r>
      <w:r w:rsidR="003D17FF">
        <w:rPr>
          <w:rFonts w:eastAsiaTheme="minorEastAsia"/>
          <w:color w:val="000000" w:themeColor="text1"/>
          <w:lang w:val="en-US"/>
        </w:rPr>
        <w:t>,</w:t>
      </w:r>
      <w:r>
        <w:rPr>
          <w:rFonts w:eastAsiaTheme="minorEastAsia"/>
          <w:color w:val="000000" w:themeColor="text1"/>
          <w:lang w:val="en-US"/>
        </w:rPr>
        <w:t xml:space="preserve"> </w:t>
      </w:r>
      <w:r>
        <w:rPr>
          <w:rFonts w:eastAsiaTheme="minorEastAsia"/>
          <w:i/>
          <w:color w:val="000000" w:themeColor="text1"/>
          <w:lang w:val="en-US"/>
        </w:rPr>
        <w:t xml:space="preserve">Language as Social Semiotic. </w:t>
      </w:r>
      <w:r>
        <w:rPr>
          <w:rFonts w:eastAsiaTheme="minorEastAsia"/>
          <w:color w:val="000000" w:themeColor="text1"/>
          <w:lang w:val="en-US"/>
        </w:rPr>
        <w:t>London: Edward Arnold.</w:t>
      </w:r>
    </w:p>
    <w:p w14:paraId="52DA4A58" w14:textId="77777777" w:rsidR="00DB06FD" w:rsidRPr="00052142" w:rsidRDefault="00DB06FD" w:rsidP="00052142">
      <w:pPr>
        <w:autoSpaceDE w:val="0"/>
        <w:autoSpaceDN w:val="0"/>
        <w:adjustRightInd w:val="0"/>
        <w:rPr>
          <w:rFonts w:eastAsiaTheme="minorEastAsia"/>
          <w:i/>
          <w:color w:val="FF0000"/>
          <w:lang w:val="en-US"/>
        </w:rPr>
      </w:pPr>
    </w:p>
    <w:p w14:paraId="696DCDDA" w14:textId="61D1A039" w:rsidR="0077124C" w:rsidRDefault="0077124C" w:rsidP="0077124C">
      <w:pPr>
        <w:pStyle w:val="BodyText"/>
        <w:spacing w:line="240" w:lineRule="auto"/>
      </w:pPr>
      <w:r>
        <w:t>H</w:t>
      </w:r>
      <w:r w:rsidR="00FB4AC8">
        <w:t>alliday</w:t>
      </w:r>
      <w:r>
        <w:t>, M</w:t>
      </w:r>
      <w:r w:rsidR="00FB4AC8">
        <w:t xml:space="preserve">ichael </w:t>
      </w:r>
      <w:r>
        <w:t xml:space="preserve">A.K. </w:t>
      </w:r>
      <w:r w:rsidR="005D6B66">
        <w:t>(</w:t>
      </w:r>
      <w:r>
        <w:t>2005</w:t>
      </w:r>
      <w:r w:rsidR="005D6B66">
        <w:t>)</w:t>
      </w:r>
      <w:r w:rsidR="003D17FF">
        <w:t>,</w:t>
      </w:r>
      <w:r w:rsidR="00B62D10">
        <w:t xml:space="preserve"> </w:t>
      </w:r>
      <w:r w:rsidR="0072449C">
        <w:t>‘</w:t>
      </w:r>
      <w:r w:rsidRPr="0077124C">
        <w:t xml:space="preserve">On </w:t>
      </w:r>
      <w:r w:rsidR="00EE2585">
        <w:t>m</w:t>
      </w:r>
      <w:r w:rsidRPr="0077124C">
        <w:t xml:space="preserve">atter and </w:t>
      </w:r>
      <w:r w:rsidR="00EE2585">
        <w:t>m</w:t>
      </w:r>
      <w:r w:rsidRPr="0077124C">
        <w:t xml:space="preserve">eaning: </w:t>
      </w:r>
      <w:r w:rsidR="00EE2585">
        <w:t>t</w:t>
      </w:r>
      <w:r w:rsidRPr="0077124C">
        <w:t xml:space="preserve">he </w:t>
      </w:r>
      <w:r w:rsidR="00EE2585">
        <w:t>t</w:t>
      </w:r>
      <w:r w:rsidRPr="0077124C">
        <w:t xml:space="preserve">wo </w:t>
      </w:r>
      <w:r w:rsidR="00EE2585">
        <w:t>r</w:t>
      </w:r>
      <w:r w:rsidRPr="0077124C">
        <w:t xml:space="preserve">ealms of </w:t>
      </w:r>
      <w:r w:rsidR="00EE2585">
        <w:t>h</w:t>
      </w:r>
      <w:r w:rsidRPr="0077124C">
        <w:t xml:space="preserve">uman </w:t>
      </w:r>
      <w:r w:rsidR="00EE2585">
        <w:t>e</w:t>
      </w:r>
      <w:r w:rsidRPr="0077124C">
        <w:t>xperience</w:t>
      </w:r>
      <w:r w:rsidR="00B62D10">
        <w:t>.</w:t>
      </w:r>
      <w:r w:rsidR="0072449C">
        <w:t>’</w:t>
      </w:r>
      <w:r>
        <w:rPr>
          <w:i/>
        </w:rPr>
        <w:t xml:space="preserve"> Linguistics and the Human Sciences </w:t>
      </w:r>
      <w:r>
        <w:t>1</w:t>
      </w:r>
      <w:r w:rsidR="0021282D">
        <w:t>:</w:t>
      </w:r>
      <w:r>
        <w:t xml:space="preserve">1 </w:t>
      </w:r>
      <w:r w:rsidR="0021282D">
        <w:t>pp</w:t>
      </w:r>
      <w:r>
        <w:t>59-82.</w:t>
      </w:r>
    </w:p>
    <w:p w14:paraId="1694920F" w14:textId="5CB3F8F4" w:rsidR="00866232" w:rsidRDefault="00866232" w:rsidP="0077124C">
      <w:pPr>
        <w:pStyle w:val="BodyText"/>
        <w:spacing w:line="240" w:lineRule="auto"/>
      </w:pPr>
    </w:p>
    <w:p w14:paraId="7F62889F" w14:textId="6B9C1C84" w:rsidR="00866232" w:rsidRDefault="00866232" w:rsidP="0077124C">
      <w:pPr>
        <w:pStyle w:val="BodyText"/>
        <w:spacing w:line="240" w:lineRule="auto"/>
      </w:pPr>
      <w:r>
        <w:t>Halliday, M</w:t>
      </w:r>
      <w:r w:rsidR="00B62D10">
        <w:t xml:space="preserve">ichael </w:t>
      </w:r>
      <w:r>
        <w:t xml:space="preserve">A.K. </w:t>
      </w:r>
      <w:r w:rsidR="005D6B66">
        <w:t>(</w:t>
      </w:r>
      <w:r>
        <w:t>2019</w:t>
      </w:r>
      <w:r w:rsidR="005D6B66">
        <w:t>)</w:t>
      </w:r>
      <w:r w:rsidR="003D17FF">
        <w:t>,</w:t>
      </w:r>
      <w:r w:rsidR="00B62D10">
        <w:t xml:space="preserve"> </w:t>
      </w:r>
      <w:r w:rsidR="0072449C">
        <w:t>‘</w:t>
      </w:r>
      <w:r>
        <w:t xml:space="preserve">The </w:t>
      </w:r>
      <w:r w:rsidR="00EE2585">
        <w:t>i</w:t>
      </w:r>
      <w:r>
        <w:t>nfluence of Marxism</w:t>
      </w:r>
      <w:r w:rsidR="00B62D10">
        <w:t>.</w:t>
      </w:r>
      <w:r w:rsidR="0072449C">
        <w:t>’</w:t>
      </w:r>
      <w:r w:rsidR="00DE2DE7">
        <w:t xml:space="preserve"> In Webster, J.J. (ed.) </w:t>
      </w:r>
      <w:r w:rsidR="00DE2DE7">
        <w:rPr>
          <w:i/>
        </w:rPr>
        <w:t>The Bloomsbury Companion to M.A.K. Halliday</w:t>
      </w:r>
      <w:r w:rsidR="00B62D10">
        <w:rPr>
          <w:i/>
        </w:rPr>
        <w:t>.</w:t>
      </w:r>
      <w:r w:rsidR="00DE2DE7">
        <w:rPr>
          <w:i/>
        </w:rPr>
        <w:t xml:space="preserve"> </w:t>
      </w:r>
      <w:r w:rsidR="00DE2DE7">
        <w:t>London: Bloomsbury. pp94-100.</w:t>
      </w:r>
    </w:p>
    <w:p w14:paraId="1CCE7AA5" w14:textId="3843D659" w:rsidR="00420241" w:rsidRDefault="00420241" w:rsidP="0077124C">
      <w:pPr>
        <w:pStyle w:val="BodyText"/>
        <w:spacing w:line="240" w:lineRule="auto"/>
      </w:pPr>
    </w:p>
    <w:p w14:paraId="1D82D5F9" w14:textId="55E27BB4" w:rsidR="00420241" w:rsidRDefault="00420241" w:rsidP="0077124C">
      <w:pPr>
        <w:pStyle w:val="BodyText"/>
        <w:spacing w:line="240" w:lineRule="auto"/>
        <w:rPr>
          <w:color w:val="000000" w:themeColor="text1"/>
        </w:rPr>
      </w:pPr>
      <w:r w:rsidRPr="00D82C7E">
        <w:rPr>
          <w:color w:val="000000" w:themeColor="text1"/>
        </w:rPr>
        <w:t xml:space="preserve">Halverson, John </w:t>
      </w:r>
      <w:r w:rsidR="005D6B66">
        <w:rPr>
          <w:color w:val="000000" w:themeColor="text1"/>
        </w:rPr>
        <w:t>(</w:t>
      </w:r>
      <w:r w:rsidRPr="00D82C7E">
        <w:rPr>
          <w:color w:val="000000" w:themeColor="text1"/>
        </w:rPr>
        <w:t>1992</w:t>
      </w:r>
      <w:r w:rsidR="005D6B66">
        <w:rPr>
          <w:color w:val="000000" w:themeColor="text1"/>
        </w:rPr>
        <w:t>)</w:t>
      </w:r>
      <w:r w:rsidR="003D17FF">
        <w:rPr>
          <w:color w:val="000000" w:themeColor="text1"/>
        </w:rPr>
        <w:t>,</w:t>
      </w:r>
      <w:r w:rsidRPr="00D82C7E">
        <w:rPr>
          <w:color w:val="000000" w:themeColor="text1"/>
        </w:rPr>
        <w:t xml:space="preserve"> </w:t>
      </w:r>
      <w:r w:rsidR="0072449C">
        <w:rPr>
          <w:color w:val="000000" w:themeColor="text1"/>
        </w:rPr>
        <w:t>‘</w:t>
      </w:r>
      <w:r w:rsidRPr="00D82C7E">
        <w:rPr>
          <w:color w:val="000000" w:themeColor="text1"/>
        </w:rPr>
        <w:t xml:space="preserve">The first pictures: perceptual foundations of </w:t>
      </w:r>
      <w:proofErr w:type="spellStart"/>
      <w:r w:rsidRPr="00D82C7E">
        <w:rPr>
          <w:color w:val="000000" w:themeColor="text1"/>
        </w:rPr>
        <w:t>Paleolithic</w:t>
      </w:r>
      <w:proofErr w:type="spellEnd"/>
      <w:r w:rsidRPr="00D82C7E">
        <w:rPr>
          <w:color w:val="000000" w:themeColor="text1"/>
        </w:rPr>
        <w:t xml:space="preserve"> art.</w:t>
      </w:r>
      <w:r w:rsidR="0072449C">
        <w:rPr>
          <w:color w:val="000000" w:themeColor="text1"/>
        </w:rPr>
        <w:t>’</w:t>
      </w:r>
      <w:r w:rsidRPr="00D82C7E">
        <w:rPr>
          <w:color w:val="000000" w:themeColor="text1"/>
        </w:rPr>
        <w:t xml:space="preserve"> </w:t>
      </w:r>
      <w:r w:rsidRPr="00D82C7E">
        <w:rPr>
          <w:i/>
          <w:color w:val="000000" w:themeColor="text1"/>
        </w:rPr>
        <w:t xml:space="preserve">Perception </w:t>
      </w:r>
      <w:r w:rsidRPr="00D82C7E">
        <w:rPr>
          <w:color w:val="000000" w:themeColor="text1"/>
        </w:rPr>
        <w:t>21:3 pp389-404.</w:t>
      </w:r>
    </w:p>
    <w:p w14:paraId="0A491C9A" w14:textId="77777777" w:rsidR="004573F2" w:rsidRDefault="004573F2" w:rsidP="0077124C">
      <w:pPr>
        <w:pStyle w:val="BodyText"/>
        <w:spacing w:line="240" w:lineRule="auto"/>
        <w:rPr>
          <w:color w:val="000000" w:themeColor="text1"/>
        </w:rPr>
      </w:pPr>
    </w:p>
    <w:p w14:paraId="7AEF9653" w14:textId="0976C7F9" w:rsidR="004573F2" w:rsidRPr="00C56B59" w:rsidRDefault="004573F2" w:rsidP="004573F2">
      <w:pPr>
        <w:pStyle w:val="BodyText"/>
        <w:spacing w:line="240" w:lineRule="auto"/>
      </w:pPr>
      <w:proofErr w:type="spellStart"/>
      <w:r>
        <w:t>Henshilwood</w:t>
      </w:r>
      <w:proofErr w:type="spellEnd"/>
      <w:r>
        <w:t xml:space="preserve">, C.S., F. </w:t>
      </w:r>
      <w:proofErr w:type="spellStart"/>
      <w:r>
        <w:t>d’Errico</w:t>
      </w:r>
      <w:proofErr w:type="spellEnd"/>
      <w:r>
        <w:t xml:space="preserve">, K.L. van Niekerk, L. </w:t>
      </w:r>
      <w:proofErr w:type="spellStart"/>
      <w:r>
        <w:t>Dayet</w:t>
      </w:r>
      <w:proofErr w:type="spellEnd"/>
      <w:r>
        <w:t xml:space="preserve">, A. </w:t>
      </w:r>
      <w:proofErr w:type="spellStart"/>
      <w:r>
        <w:t>Queffelec</w:t>
      </w:r>
      <w:proofErr w:type="spellEnd"/>
      <w:r>
        <w:t xml:space="preserve"> and L. </w:t>
      </w:r>
      <w:proofErr w:type="spellStart"/>
      <w:r>
        <w:t>Pollarolo</w:t>
      </w:r>
      <w:proofErr w:type="spellEnd"/>
      <w:r>
        <w:t xml:space="preserve"> </w:t>
      </w:r>
      <w:r w:rsidR="003D17FF">
        <w:t>(</w:t>
      </w:r>
      <w:r>
        <w:t>2018</w:t>
      </w:r>
      <w:r w:rsidR="003D17FF">
        <w:t>),</w:t>
      </w:r>
      <w:r>
        <w:t xml:space="preserve"> </w:t>
      </w:r>
      <w:r w:rsidR="0072449C">
        <w:t>‘</w:t>
      </w:r>
      <w:r>
        <w:t xml:space="preserve">An Abstract Drawing from the 73,000-year-old Levels at </w:t>
      </w:r>
      <w:proofErr w:type="spellStart"/>
      <w:r>
        <w:t>Blombos</w:t>
      </w:r>
      <w:proofErr w:type="spellEnd"/>
      <w:r>
        <w:t xml:space="preserve"> Cave, South Africa.</w:t>
      </w:r>
      <w:r w:rsidR="0072449C">
        <w:t>’</w:t>
      </w:r>
      <w:r>
        <w:t xml:space="preserve"> </w:t>
      </w:r>
      <w:r>
        <w:rPr>
          <w:i/>
          <w:iCs/>
        </w:rPr>
        <w:t xml:space="preserve">Nature </w:t>
      </w:r>
      <w:r>
        <w:t>562. 115-118.</w:t>
      </w:r>
    </w:p>
    <w:p w14:paraId="34C39C0C" w14:textId="77777777" w:rsidR="004573F2" w:rsidRDefault="004573F2" w:rsidP="0077124C">
      <w:pPr>
        <w:pStyle w:val="BodyText"/>
        <w:spacing w:line="240" w:lineRule="auto"/>
        <w:rPr>
          <w:color w:val="000000" w:themeColor="text1"/>
        </w:rPr>
      </w:pPr>
    </w:p>
    <w:p w14:paraId="01AF1504" w14:textId="7E7C5C29" w:rsidR="000C28C4" w:rsidRPr="000C28C4" w:rsidRDefault="000C28C4" w:rsidP="0077124C">
      <w:pPr>
        <w:pStyle w:val="BodyText"/>
        <w:spacing w:line="240" w:lineRule="auto"/>
        <w:rPr>
          <w:color w:val="000000" w:themeColor="text1"/>
        </w:rPr>
      </w:pPr>
      <w:proofErr w:type="spellStart"/>
      <w:r>
        <w:rPr>
          <w:color w:val="000000" w:themeColor="text1"/>
        </w:rPr>
        <w:t>Hjelde</w:t>
      </w:r>
      <w:proofErr w:type="spellEnd"/>
      <w:r>
        <w:rPr>
          <w:color w:val="000000" w:themeColor="text1"/>
        </w:rPr>
        <w:t>, Katrin</w:t>
      </w:r>
      <w:r w:rsidR="00561932">
        <w:rPr>
          <w:color w:val="000000" w:themeColor="text1"/>
        </w:rPr>
        <w:t>e</w:t>
      </w:r>
      <w:r>
        <w:rPr>
          <w:color w:val="000000" w:themeColor="text1"/>
        </w:rPr>
        <w:t xml:space="preserve"> </w:t>
      </w:r>
      <w:r w:rsidR="005D6B66">
        <w:rPr>
          <w:color w:val="000000" w:themeColor="text1"/>
        </w:rPr>
        <w:t>(</w:t>
      </w:r>
      <w:r>
        <w:rPr>
          <w:color w:val="000000" w:themeColor="text1"/>
        </w:rPr>
        <w:t>2015</w:t>
      </w:r>
      <w:r w:rsidR="005D6B66">
        <w:rPr>
          <w:color w:val="000000" w:themeColor="text1"/>
        </w:rPr>
        <w:t>)</w:t>
      </w:r>
      <w:r w:rsidR="003D17FF">
        <w:rPr>
          <w:color w:val="000000" w:themeColor="text1"/>
        </w:rPr>
        <w:t>,</w:t>
      </w:r>
      <w:r>
        <w:rPr>
          <w:color w:val="000000" w:themeColor="text1"/>
        </w:rPr>
        <w:t xml:space="preserve"> </w:t>
      </w:r>
      <w:r w:rsidR="0072449C">
        <w:rPr>
          <w:color w:val="000000" w:themeColor="text1"/>
        </w:rPr>
        <w:t>‘</w:t>
      </w:r>
      <w:r>
        <w:rPr>
          <w:color w:val="000000" w:themeColor="text1"/>
        </w:rPr>
        <w:t>Paradox and potential: fine art employability and enterprise perspectives.</w:t>
      </w:r>
      <w:r w:rsidR="0072449C">
        <w:rPr>
          <w:color w:val="000000" w:themeColor="text1"/>
        </w:rPr>
        <w:t>’</w:t>
      </w:r>
      <w:r>
        <w:rPr>
          <w:color w:val="000000" w:themeColor="text1"/>
        </w:rPr>
        <w:t xml:space="preserve"> </w:t>
      </w:r>
      <w:r>
        <w:rPr>
          <w:i/>
          <w:color w:val="000000" w:themeColor="text1"/>
        </w:rPr>
        <w:t xml:space="preserve">Art, Design &amp; Communication in Higher Education </w:t>
      </w:r>
      <w:r>
        <w:rPr>
          <w:color w:val="000000" w:themeColor="text1"/>
        </w:rPr>
        <w:t>14:2 pp175-188.</w:t>
      </w:r>
    </w:p>
    <w:p w14:paraId="030F1AD3" w14:textId="77777777" w:rsidR="003D7FDA" w:rsidRDefault="003D7FDA" w:rsidP="0077124C">
      <w:pPr>
        <w:pStyle w:val="BodyText"/>
        <w:spacing w:line="240" w:lineRule="auto"/>
      </w:pPr>
    </w:p>
    <w:p w14:paraId="5AF9A4E3" w14:textId="77777777" w:rsidR="003D7FDA" w:rsidRDefault="003D7FDA" w:rsidP="003D7FDA">
      <w:pPr>
        <w:pStyle w:val="EndNoteBibliography"/>
        <w:ind w:left="720" w:hanging="720"/>
        <w:rPr>
          <w:noProof/>
        </w:rPr>
      </w:pPr>
    </w:p>
    <w:p w14:paraId="4E1C512F" w14:textId="0354A1D7" w:rsidR="00E2709B" w:rsidRPr="004A21EA" w:rsidRDefault="00E2709B" w:rsidP="00493AF4">
      <w:pPr>
        <w:pStyle w:val="EndNoteBibliography"/>
        <w:rPr>
          <w:color w:val="000000" w:themeColor="text1"/>
        </w:rPr>
      </w:pPr>
      <w:r>
        <w:rPr>
          <w:color w:val="000000" w:themeColor="text1"/>
        </w:rPr>
        <w:t xml:space="preserve">Hood, C. </w:t>
      </w:r>
      <w:r w:rsidR="00103EDE">
        <w:rPr>
          <w:color w:val="000000" w:themeColor="text1"/>
        </w:rPr>
        <w:t>(</w:t>
      </w:r>
      <w:r>
        <w:rPr>
          <w:color w:val="000000" w:themeColor="text1"/>
        </w:rPr>
        <w:t>1991</w:t>
      </w:r>
      <w:r w:rsidR="00103EDE">
        <w:rPr>
          <w:color w:val="000000" w:themeColor="text1"/>
        </w:rPr>
        <w:t>)</w:t>
      </w:r>
      <w:r w:rsidR="003D17FF">
        <w:rPr>
          <w:color w:val="000000" w:themeColor="text1"/>
        </w:rPr>
        <w:t>,</w:t>
      </w:r>
      <w:r>
        <w:rPr>
          <w:color w:val="000000" w:themeColor="text1"/>
        </w:rPr>
        <w:t xml:space="preserve"> </w:t>
      </w:r>
      <w:r w:rsidR="0072449C">
        <w:rPr>
          <w:color w:val="000000" w:themeColor="text1"/>
        </w:rPr>
        <w:t>‘</w:t>
      </w:r>
      <w:r>
        <w:rPr>
          <w:color w:val="000000" w:themeColor="text1"/>
        </w:rPr>
        <w:t>A public management for all seasons?</w:t>
      </w:r>
      <w:r w:rsidR="0072449C">
        <w:rPr>
          <w:color w:val="000000" w:themeColor="text1"/>
        </w:rPr>
        <w:t>’</w:t>
      </w:r>
      <w:r>
        <w:rPr>
          <w:color w:val="000000" w:themeColor="text1"/>
        </w:rPr>
        <w:t xml:space="preserve"> </w:t>
      </w:r>
      <w:r w:rsidR="004A21EA">
        <w:rPr>
          <w:i/>
          <w:iCs/>
          <w:color w:val="000000" w:themeColor="text1"/>
        </w:rPr>
        <w:t xml:space="preserve">Public Administration </w:t>
      </w:r>
      <w:r w:rsidR="004A21EA">
        <w:rPr>
          <w:color w:val="000000" w:themeColor="text1"/>
        </w:rPr>
        <w:t>69 Spring 1991</w:t>
      </w:r>
      <w:r w:rsidR="003D17FF">
        <w:rPr>
          <w:color w:val="000000" w:themeColor="text1"/>
        </w:rPr>
        <w:t xml:space="preserve"> </w:t>
      </w:r>
      <w:r w:rsidR="004A21EA">
        <w:rPr>
          <w:color w:val="000000" w:themeColor="text1"/>
        </w:rPr>
        <w:t>pp3-19.</w:t>
      </w:r>
    </w:p>
    <w:p w14:paraId="2A8E2530" w14:textId="2A357A7B" w:rsidR="00811A07" w:rsidRDefault="00811A07" w:rsidP="003D7FDA">
      <w:pPr>
        <w:pStyle w:val="EndNoteBibliography"/>
        <w:ind w:left="720" w:hanging="720"/>
        <w:rPr>
          <w:color w:val="000000" w:themeColor="text1"/>
        </w:rPr>
      </w:pPr>
    </w:p>
    <w:p w14:paraId="71EF5E5F" w14:textId="25F18B38" w:rsidR="00811A07" w:rsidRPr="006363DA" w:rsidRDefault="00811A07" w:rsidP="003D7FDA">
      <w:pPr>
        <w:pStyle w:val="EndNoteBibliography"/>
        <w:ind w:left="720" w:hanging="720"/>
        <w:rPr>
          <w:color w:val="000000" w:themeColor="text1"/>
        </w:rPr>
      </w:pPr>
      <w:r w:rsidRPr="006363DA">
        <w:rPr>
          <w:color w:val="000000" w:themeColor="text1"/>
        </w:rPr>
        <w:t>Houghton, Nicholas (2016)</w:t>
      </w:r>
      <w:r w:rsidR="003D17FF">
        <w:rPr>
          <w:color w:val="000000" w:themeColor="text1"/>
        </w:rPr>
        <w:t>,</w:t>
      </w:r>
      <w:r w:rsidRPr="006363DA">
        <w:rPr>
          <w:color w:val="000000" w:themeColor="text1"/>
        </w:rPr>
        <w:t xml:space="preserve"> </w:t>
      </w:r>
      <w:r w:rsidR="0072449C">
        <w:rPr>
          <w:color w:val="000000" w:themeColor="text1"/>
        </w:rPr>
        <w:t>‘</w:t>
      </w:r>
      <w:r w:rsidRPr="006363DA">
        <w:rPr>
          <w:color w:val="000000" w:themeColor="text1"/>
        </w:rPr>
        <w:t>Six into one: the contradictory art school curriculum and how it</w:t>
      </w:r>
    </w:p>
    <w:p w14:paraId="60A88491" w14:textId="1B9CF71C" w:rsidR="00811A07" w:rsidRDefault="00811A07" w:rsidP="003D7FDA">
      <w:pPr>
        <w:pStyle w:val="EndNoteBibliography"/>
        <w:ind w:left="720" w:hanging="720"/>
        <w:rPr>
          <w:color w:val="000000" w:themeColor="text1"/>
        </w:rPr>
      </w:pPr>
      <w:r w:rsidRPr="006363DA">
        <w:rPr>
          <w:color w:val="000000" w:themeColor="text1"/>
        </w:rPr>
        <w:t>came about.</w:t>
      </w:r>
      <w:r w:rsidR="0072449C">
        <w:rPr>
          <w:color w:val="000000" w:themeColor="text1"/>
        </w:rPr>
        <w:t>’</w:t>
      </w:r>
      <w:r w:rsidRPr="006363DA">
        <w:rPr>
          <w:color w:val="000000" w:themeColor="text1"/>
        </w:rPr>
        <w:t xml:space="preserve"> </w:t>
      </w:r>
      <w:r w:rsidRPr="006363DA">
        <w:rPr>
          <w:i/>
          <w:color w:val="000000" w:themeColor="text1"/>
        </w:rPr>
        <w:t xml:space="preserve">The International Journal of Art &amp; Design Education. </w:t>
      </w:r>
      <w:r w:rsidRPr="006363DA">
        <w:rPr>
          <w:color w:val="000000" w:themeColor="text1"/>
        </w:rPr>
        <w:t>3</w:t>
      </w:r>
      <w:r w:rsidR="00192FAF" w:rsidRPr="006363DA">
        <w:rPr>
          <w:color w:val="000000" w:themeColor="text1"/>
        </w:rPr>
        <w:t>5:1 pp107-120.</w:t>
      </w:r>
    </w:p>
    <w:p w14:paraId="6FC0BCAB" w14:textId="5012E19C" w:rsidR="0082149E" w:rsidRDefault="0082149E" w:rsidP="003D7FDA">
      <w:pPr>
        <w:pStyle w:val="EndNoteBibliography"/>
        <w:ind w:left="720" w:hanging="720"/>
        <w:rPr>
          <w:color w:val="000000" w:themeColor="text1"/>
        </w:rPr>
      </w:pPr>
    </w:p>
    <w:p w14:paraId="69DAD56F" w14:textId="77777777" w:rsidR="00230021" w:rsidRDefault="0082149E" w:rsidP="003218C1">
      <w:pPr>
        <w:pStyle w:val="EndNoteBibliography"/>
        <w:ind w:left="720" w:hanging="720"/>
        <w:jc w:val="both"/>
        <w:rPr>
          <w:color w:val="000000" w:themeColor="text1"/>
        </w:rPr>
      </w:pPr>
      <w:r>
        <w:rPr>
          <w:color w:val="000000" w:themeColor="text1"/>
        </w:rPr>
        <w:t>Houghton, Nicholas (2019), ‘A 60 year dysfunctional relationship: how and why curriculum</w:t>
      </w:r>
    </w:p>
    <w:p w14:paraId="0D50AEEB" w14:textId="77777777" w:rsidR="00230021" w:rsidRDefault="0082149E" w:rsidP="003218C1">
      <w:pPr>
        <w:pStyle w:val="EndNoteBibliography"/>
        <w:ind w:left="720" w:hanging="720"/>
        <w:jc w:val="both"/>
        <w:rPr>
          <w:i/>
          <w:iCs/>
          <w:color w:val="000000" w:themeColor="text1"/>
        </w:rPr>
      </w:pPr>
      <w:r>
        <w:rPr>
          <w:color w:val="000000" w:themeColor="text1"/>
        </w:rPr>
        <w:t xml:space="preserve">and assessment in fine art in England have always been problematic and still are.’ </w:t>
      </w:r>
      <w:r>
        <w:rPr>
          <w:i/>
          <w:iCs/>
          <w:color w:val="000000" w:themeColor="text1"/>
        </w:rPr>
        <w:t>Art, Design</w:t>
      </w:r>
    </w:p>
    <w:p w14:paraId="7F65F050" w14:textId="7198C87F" w:rsidR="0082149E" w:rsidRPr="0082149E" w:rsidRDefault="0082149E" w:rsidP="003218C1">
      <w:pPr>
        <w:pStyle w:val="EndNoteBibliography"/>
        <w:ind w:left="720" w:hanging="720"/>
        <w:jc w:val="both"/>
        <w:rPr>
          <w:color w:val="000000" w:themeColor="text1"/>
        </w:rPr>
      </w:pPr>
      <w:r>
        <w:rPr>
          <w:i/>
          <w:iCs/>
          <w:color w:val="000000" w:themeColor="text1"/>
        </w:rPr>
        <w:t xml:space="preserve">and Communication in Higher Education. </w:t>
      </w:r>
      <w:r>
        <w:rPr>
          <w:color w:val="000000" w:themeColor="text1"/>
        </w:rPr>
        <w:t>18:2 pp171-185.</w:t>
      </w:r>
    </w:p>
    <w:p w14:paraId="59294B04" w14:textId="77777777" w:rsidR="003D7FDA" w:rsidRPr="00DE2DE7" w:rsidRDefault="003D7FDA" w:rsidP="0077124C">
      <w:pPr>
        <w:pStyle w:val="BodyText"/>
        <w:spacing w:line="240" w:lineRule="auto"/>
      </w:pPr>
    </w:p>
    <w:p w14:paraId="24EB8CBF" w14:textId="413DD692" w:rsidR="00812177" w:rsidRDefault="00812177" w:rsidP="00365F2D">
      <w:pPr>
        <w:pStyle w:val="BodyText"/>
        <w:spacing w:line="240" w:lineRule="auto"/>
      </w:pPr>
      <w:r>
        <w:lastRenderedPageBreak/>
        <w:t>J</w:t>
      </w:r>
      <w:r w:rsidR="00FB4AC8">
        <w:t>akobson</w:t>
      </w:r>
      <w:r>
        <w:t>, R</w:t>
      </w:r>
      <w:r w:rsidR="00FB4AC8">
        <w:t>oman</w:t>
      </w:r>
      <w:r>
        <w:t xml:space="preserve"> </w:t>
      </w:r>
      <w:r w:rsidR="005D6B66">
        <w:t>(</w:t>
      </w:r>
      <w:r>
        <w:t>1958</w:t>
      </w:r>
      <w:r w:rsidR="005D6B66">
        <w:t>)</w:t>
      </w:r>
      <w:r w:rsidR="003D17FF">
        <w:t>,</w:t>
      </w:r>
      <w:r w:rsidR="00B62D10">
        <w:t xml:space="preserve"> </w:t>
      </w:r>
      <w:r w:rsidR="0072449C">
        <w:t>‘</w:t>
      </w:r>
      <w:r w:rsidR="00365F2D">
        <w:t xml:space="preserve">Closing </w:t>
      </w:r>
      <w:r w:rsidR="0058563F">
        <w:t>s</w:t>
      </w:r>
      <w:r w:rsidR="00365F2D">
        <w:t xml:space="preserve">tatement at the </w:t>
      </w:r>
      <w:r w:rsidR="0058563F">
        <w:t>c</w:t>
      </w:r>
      <w:r w:rsidR="00365F2D">
        <w:t>onference on Style in Language: Linguistics and Poetics</w:t>
      </w:r>
      <w:r w:rsidR="00B62D10">
        <w:t>.</w:t>
      </w:r>
      <w:r w:rsidR="0072449C">
        <w:t>’</w:t>
      </w:r>
      <w:r w:rsidR="00365F2D">
        <w:t xml:space="preserve"> In </w:t>
      </w:r>
      <w:proofErr w:type="spellStart"/>
      <w:r w:rsidR="00365F2D">
        <w:t>S</w:t>
      </w:r>
      <w:r w:rsidR="00FB4AC8">
        <w:t>ebeok</w:t>
      </w:r>
      <w:proofErr w:type="spellEnd"/>
      <w:r w:rsidR="00365F2D">
        <w:t xml:space="preserve">, T.A. (ed.) </w:t>
      </w:r>
      <w:r w:rsidR="005D6B66">
        <w:t>(</w:t>
      </w:r>
      <w:r w:rsidR="00FB725F">
        <w:t>1960</w:t>
      </w:r>
      <w:r w:rsidR="005D6B66">
        <w:t>)</w:t>
      </w:r>
      <w:r w:rsidR="003D17FF">
        <w:t>,</w:t>
      </w:r>
      <w:r w:rsidR="00FB725F">
        <w:t xml:space="preserve"> </w:t>
      </w:r>
      <w:r w:rsidR="00365F2D">
        <w:rPr>
          <w:i/>
        </w:rPr>
        <w:t>Style in Language</w:t>
      </w:r>
      <w:r w:rsidR="00B62D10">
        <w:rPr>
          <w:i/>
        </w:rPr>
        <w:t>.</w:t>
      </w:r>
      <w:r w:rsidR="00365F2D">
        <w:rPr>
          <w:i/>
        </w:rPr>
        <w:t xml:space="preserve"> </w:t>
      </w:r>
      <w:r w:rsidR="00365F2D">
        <w:t xml:space="preserve">Cambridge, MA: MIT Press. </w:t>
      </w:r>
      <w:r w:rsidR="0021282D">
        <w:t>pp</w:t>
      </w:r>
      <w:r w:rsidR="00365F2D">
        <w:t>350-377.</w:t>
      </w:r>
    </w:p>
    <w:p w14:paraId="1DFE8DB5" w14:textId="498F0CFB" w:rsidR="00D5358B" w:rsidRDefault="00D5358B" w:rsidP="00365F2D">
      <w:pPr>
        <w:pStyle w:val="BodyText"/>
        <w:spacing w:line="240" w:lineRule="auto"/>
      </w:pPr>
    </w:p>
    <w:p w14:paraId="0FF1C3D1" w14:textId="2E3E31FF" w:rsidR="00D5358B" w:rsidRPr="006461FF" w:rsidRDefault="00D5358B" w:rsidP="00365F2D">
      <w:pPr>
        <w:pStyle w:val="BodyText"/>
        <w:spacing w:line="240" w:lineRule="auto"/>
      </w:pPr>
      <w:r>
        <w:t xml:space="preserve">Kenning, Dean </w:t>
      </w:r>
      <w:r w:rsidR="005D6B66">
        <w:t>(</w:t>
      </w:r>
      <w:r>
        <w:t>2019</w:t>
      </w:r>
      <w:r w:rsidR="005D6B66">
        <w:t>)</w:t>
      </w:r>
      <w:r w:rsidR="003D17FF">
        <w:t>,</w:t>
      </w:r>
      <w:r w:rsidR="006461FF">
        <w:t xml:space="preserve"> </w:t>
      </w:r>
      <w:r w:rsidR="0072449C">
        <w:t>‘</w:t>
      </w:r>
      <w:r w:rsidR="006461FF">
        <w:t xml:space="preserve">Art </w:t>
      </w:r>
      <w:r w:rsidR="0058563F">
        <w:t>w</w:t>
      </w:r>
      <w:r w:rsidR="006461FF">
        <w:t xml:space="preserve">orld </w:t>
      </w:r>
      <w:r w:rsidR="0058563F">
        <w:t>s</w:t>
      </w:r>
      <w:r w:rsidR="006461FF">
        <w:t xml:space="preserve">trategies: Neoliberalism and the </w:t>
      </w:r>
      <w:r w:rsidR="0058563F">
        <w:t>p</w:t>
      </w:r>
      <w:r w:rsidR="006461FF">
        <w:t xml:space="preserve">olitics of </w:t>
      </w:r>
      <w:r w:rsidR="0058563F">
        <w:t>p</w:t>
      </w:r>
      <w:r w:rsidR="006461FF">
        <w:t xml:space="preserve">rofessional </w:t>
      </w:r>
      <w:r w:rsidR="0058563F">
        <w:t>p</w:t>
      </w:r>
      <w:r w:rsidR="006461FF">
        <w:t xml:space="preserve">ractice in </w:t>
      </w:r>
      <w:r w:rsidR="0058563F">
        <w:t>f</w:t>
      </w:r>
      <w:r w:rsidR="006461FF">
        <w:t xml:space="preserve">ine </w:t>
      </w:r>
      <w:r w:rsidR="0058563F">
        <w:t>a</w:t>
      </w:r>
      <w:r w:rsidR="006461FF">
        <w:t xml:space="preserve">rt </w:t>
      </w:r>
      <w:r w:rsidR="0058563F">
        <w:t>e</w:t>
      </w:r>
      <w:r w:rsidR="006461FF">
        <w:t>ducation.</w:t>
      </w:r>
      <w:r w:rsidR="0072449C">
        <w:t>’</w:t>
      </w:r>
      <w:r w:rsidR="006461FF">
        <w:t xml:space="preserve"> </w:t>
      </w:r>
      <w:r w:rsidR="006461FF">
        <w:rPr>
          <w:i/>
        </w:rPr>
        <w:t xml:space="preserve">Journal of Visual Art Practice </w:t>
      </w:r>
      <w:r w:rsidR="006461FF">
        <w:t>18:2 pp115-131.</w:t>
      </w:r>
    </w:p>
    <w:p w14:paraId="099EF7BD" w14:textId="3292C170" w:rsidR="00AF09C7" w:rsidRDefault="00AF09C7" w:rsidP="00365F2D">
      <w:pPr>
        <w:pStyle w:val="BodyText"/>
        <w:spacing w:line="240" w:lineRule="auto"/>
      </w:pPr>
    </w:p>
    <w:p w14:paraId="3DED75B3" w14:textId="18A55BBF" w:rsidR="00811A07" w:rsidRDefault="00596A4E" w:rsidP="00365F2D">
      <w:pPr>
        <w:pStyle w:val="BodyText"/>
        <w:spacing w:line="240" w:lineRule="auto"/>
        <w:rPr>
          <w:color w:val="000000" w:themeColor="text1"/>
        </w:rPr>
      </w:pPr>
      <w:r w:rsidRPr="00811433">
        <w:rPr>
          <w:color w:val="000000" w:themeColor="text1"/>
        </w:rPr>
        <w:t xml:space="preserve">Macdonald, Stuart </w:t>
      </w:r>
      <w:r w:rsidR="005D6B66">
        <w:rPr>
          <w:color w:val="000000" w:themeColor="text1"/>
        </w:rPr>
        <w:t>(</w:t>
      </w:r>
      <w:r w:rsidRPr="00811433">
        <w:rPr>
          <w:color w:val="000000" w:themeColor="text1"/>
        </w:rPr>
        <w:t>197</w:t>
      </w:r>
      <w:r w:rsidR="00811A07">
        <w:rPr>
          <w:color w:val="000000" w:themeColor="text1"/>
        </w:rPr>
        <w:t>0</w:t>
      </w:r>
      <w:r w:rsidR="005D6B66">
        <w:rPr>
          <w:color w:val="000000" w:themeColor="text1"/>
        </w:rPr>
        <w:t>)</w:t>
      </w:r>
      <w:r w:rsidR="003D17FF">
        <w:rPr>
          <w:color w:val="000000" w:themeColor="text1"/>
        </w:rPr>
        <w:t>,</w:t>
      </w:r>
      <w:r w:rsidRPr="00811433">
        <w:rPr>
          <w:color w:val="000000" w:themeColor="text1"/>
        </w:rPr>
        <w:t xml:space="preserve"> </w:t>
      </w:r>
      <w:r w:rsidR="00811A07">
        <w:rPr>
          <w:i/>
          <w:color w:val="000000" w:themeColor="text1"/>
        </w:rPr>
        <w:t xml:space="preserve">The History and Philosophy of Art Education. </w:t>
      </w:r>
      <w:r w:rsidR="00811A07">
        <w:rPr>
          <w:color w:val="000000" w:themeColor="text1"/>
        </w:rPr>
        <w:t>London: University of London Press.</w:t>
      </w:r>
    </w:p>
    <w:p w14:paraId="1405E570" w14:textId="77777777" w:rsidR="00811A07" w:rsidRDefault="00811A07" w:rsidP="00365F2D">
      <w:pPr>
        <w:pStyle w:val="BodyText"/>
        <w:spacing w:line="240" w:lineRule="auto"/>
        <w:rPr>
          <w:color w:val="000000" w:themeColor="text1"/>
        </w:rPr>
      </w:pPr>
    </w:p>
    <w:p w14:paraId="4A932B60" w14:textId="6A7E22F5" w:rsidR="00596A4E" w:rsidRPr="00811433" w:rsidRDefault="006363DA" w:rsidP="00365F2D">
      <w:pPr>
        <w:pStyle w:val="BodyText"/>
        <w:spacing w:line="240" w:lineRule="auto"/>
        <w:rPr>
          <w:color w:val="000000" w:themeColor="text1"/>
        </w:rPr>
      </w:pPr>
      <w:r>
        <w:rPr>
          <w:color w:val="000000" w:themeColor="text1"/>
        </w:rPr>
        <w:t>Macdonald, Stuart (1973)</w:t>
      </w:r>
      <w:r w:rsidR="003D17FF">
        <w:rPr>
          <w:color w:val="000000" w:themeColor="text1"/>
        </w:rPr>
        <w:t>,</w:t>
      </w:r>
      <w:r>
        <w:rPr>
          <w:color w:val="000000" w:themeColor="text1"/>
        </w:rPr>
        <w:t xml:space="preserve"> </w:t>
      </w:r>
      <w:r w:rsidR="0072449C">
        <w:rPr>
          <w:color w:val="000000" w:themeColor="text1"/>
        </w:rPr>
        <w:t>‘</w:t>
      </w:r>
      <w:proofErr w:type="spellStart"/>
      <w:r>
        <w:rPr>
          <w:color w:val="000000" w:themeColor="text1"/>
        </w:rPr>
        <w:t>Articidal</w:t>
      </w:r>
      <w:proofErr w:type="spellEnd"/>
      <w:r>
        <w:rPr>
          <w:color w:val="000000" w:themeColor="text1"/>
        </w:rPr>
        <w:t xml:space="preserve"> tendencies.</w:t>
      </w:r>
      <w:r w:rsidR="0072449C">
        <w:rPr>
          <w:color w:val="000000" w:themeColor="text1"/>
        </w:rPr>
        <w:t>’</w:t>
      </w:r>
      <w:r>
        <w:rPr>
          <w:color w:val="000000" w:themeColor="text1"/>
        </w:rPr>
        <w:t xml:space="preserve"> In </w:t>
      </w:r>
      <w:r w:rsidR="00596A4E" w:rsidRPr="00811433">
        <w:rPr>
          <w:color w:val="000000" w:themeColor="text1"/>
        </w:rPr>
        <w:t>Piper, D</w:t>
      </w:r>
      <w:r w:rsidR="00811A07">
        <w:rPr>
          <w:color w:val="000000" w:themeColor="text1"/>
        </w:rPr>
        <w:t>avid</w:t>
      </w:r>
      <w:r>
        <w:rPr>
          <w:color w:val="000000" w:themeColor="text1"/>
        </w:rPr>
        <w:t xml:space="preserve"> </w:t>
      </w:r>
      <w:r w:rsidR="00596A4E" w:rsidRPr="00811433">
        <w:rPr>
          <w:color w:val="000000" w:themeColor="text1"/>
        </w:rPr>
        <w:t>W</w:t>
      </w:r>
      <w:r w:rsidR="00811A07">
        <w:rPr>
          <w:color w:val="000000" w:themeColor="text1"/>
        </w:rPr>
        <w:t>arren</w:t>
      </w:r>
      <w:r>
        <w:rPr>
          <w:color w:val="000000" w:themeColor="text1"/>
        </w:rPr>
        <w:t xml:space="preserve"> (ed.)</w:t>
      </w:r>
      <w:r w:rsidR="00596A4E" w:rsidRPr="00811433">
        <w:rPr>
          <w:color w:val="000000" w:themeColor="text1"/>
        </w:rPr>
        <w:t xml:space="preserve"> </w:t>
      </w:r>
      <w:r w:rsidR="00596A4E" w:rsidRPr="00811433">
        <w:rPr>
          <w:i/>
          <w:color w:val="000000" w:themeColor="text1"/>
        </w:rPr>
        <w:t xml:space="preserve">Readings in Art and Design Education. </w:t>
      </w:r>
      <w:r w:rsidR="00596A4E" w:rsidRPr="006363DA">
        <w:rPr>
          <w:color w:val="000000" w:themeColor="text1"/>
        </w:rPr>
        <w:t>Vol</w:t>
      </w:r>
      <w:r w:rsidRPr="006363DA">
        <w:rPr>
          <w:color w:val="000000" w:themeColor="text1"/>
        </w:rPr>
        <w:t>.</w:t>
      </w:r>
      <w:r w:rsidR="00596A4E" w:rsidRPr="006363DA">
        <w:rPr>
          <w:color w:val="000000" w:themeColor="text1"/>
        </w:rPr>
        <w:t>2.</w:t>
      </w:r>
      <w:r w:rsidR="00596A4E" w:rsidRPr="00811433">
        <w:rPr>
          <w:i/>
          <w:color w:val="000000" w:themeColor="text1"/>
        </w:rPr>
        <w:t xml:space="preserve"> </w:t>
      </w:r>
      <w:r w:rsidR="00596A4E" w:rsidRPr="00811433">
        <w:rPr>
          <w:color w:val="000000" w:themeColor="text1"/>
        </w:rPr>
        <w:t xml:space="preserve">London: Davis-Poynter. </w:t>
      </w:r>
      <w:r>
        <w:rPr>
          <w:color w:val="000000" w:themeColor="text1"/>
        </w:rPr>
        <w:t>pp89-99.</w:t>
      </w:r>
    </w:p>
    <w:p w14:paraId="10FEAF90" w14:textId="15A1D852" w:rsidR="00044851" w:rsidRDefault="00044851" w:rsidP="00365F2D">
      <w:pPr>
        <w:pStyle w:val="BodyText"/>
        <w:spacing w:line="240" w:lineRule="auto"/>
      </w:pPr>
    </w:p>
    <w:p w14:paraId="5BBEEF1F" w14:textId="563A46BF" w:rsidR="00F3762A" w:rsidRDefault="00F3762A" w:rsidP="00365F2D">
      <w:pPr>
        <w:pStyle w:val="BodyText"/>
        <w:spacing w:line="240" w:lineRule="auto"/>
        <w:rPr>
          <w:rStyle w:val="Hyperlink"/>
        </w:rPr>
      </w:pPr>
      <w:r>
        <w:t>M</w:t>
      </w:r>
      <w:r w:rsidR="00FB4AC8">
        <w:t>artin</w:t>
      </w:r>
      <w:r>
        <w:t>, B</w:t>
      </w:r>
      <w:r w:rsidR="0021282D">
        <w:t>en</w:t>
      </w:r>
      <w:r>
        <w:t xml:space="preserve"> </w:t>
      </w:r>
      <w:r w:rsidR="005D6B66">
        <w:t>(</w:t>
      </w:r>
      <w:r>
        <w:t>2016</w:t>
      </w:r>
      <w:r w:rsidR="005D6B66">
        <w:t>)</w:t>
      </w:r>
      <w:r w:rsidR="0072449C">
        <w:t>, ‘</w:t>
      </w:r>
      <w:r>
        <w:t xml:space="preserve">What’s </w:t>
      </w:r>
      <w:r w:rsidR="0058563F">
        <w:t>h</w:t>
      </w:r>
      <w:r>
        <w:t xml:space="preserve">appening to </w:t>
      </w:r>
      <w:r w:rsidR="0058563F">
        <w:t>o</w:t>
      </w:r>
      <w:r>
        <w:t xml:space="preserve">ur </w:t>
      </w:r>
      <w:r w:rsidR="0058563F">
        <w:t>u</w:t>
      </w:r>
      <w:r>
        <w:t>niversities?</w:t>
      </w:r>
      <w:r w:rsidR="0072449C">
        <w:t>’</w:t>
      </w:r>
      <w:r>
        <w:t xml:space="preserve"> </w:t>
      </w:r>
      <w:r>
        <w:rPr>
          <w:i/>
        </w:rPr>
        <w:t>Science Policy Research Papers. Working Paper Series</w:t>
      </w:r>
      <w:r w:rsidR="0021282D">
        <w:rPr>
          <w:i/>
        </w:rPr>
        <w:t>,</w:t>
      </w:r>
      <w:r>
        <w:rPr>
          <w:i/>
        </w:rPr>
        <w:t xml:space="preserve"> </w:t>
      </w:r>
      <w:r>
        <w:t xml:space="preserve">2016-03. Available at: </w:t>
      </w:r>
      <w:hyperlink r:id="rId13" w:history="1">
        <w:r w:rsidR="00E314E5" w:rsidRPr="005B1307">
          <w:rPr>
            <w:rStyle w:val="Hyperlink"/>
          </w:rPr>
          <w:t>www.sussex.ac.uk/spru/research/swps</w:t>
        </w:r>
      </w:hyperlink>
    </w:p>
    <w:p w14:paraId="509E0740" w14:textId="5988FFAF" w:rsidR="00DB27E3" w:rsidRDefault="00DB27E3" w:rsidP="00365F2D">
      <w:pPr>
        <w:pStyle w:val="BodyText"/>
        <w:spacing w:line="240" w:lineRule="auto"/>
        <w:rPr>
          <w:rStyle w:val="Hyperlink"/>
        </w:rPr>
      </w:pPr>
    </w:p>
    <w:p w14:paraId="77C5C9D1" w14:textId="72343063" w:rsidR="00DB27E3" w:rsidRPr="006363DA" w:rsidRDefault="00DB27E3" w:rsidP="00365F2D">
      <w:pPr>
        <w:pStyle w:val="BodyText"/>
        <w:spacing w:line="240" w:lineRule="auto"/>
        <w:rPr>
          <w:rStyle w:val="Hyperlink"/>
          <w:color w:val="000000" w:themeColor="text1"/>
          <w:u w:val="none"/>
        </w:rPr>
      </w:pPr>
      <w:r w:rsidRPr="006363DA">
        <w:rPr>
          <w:rStyle w:val="Hyperlink"/>
          <w:color w:val="000000" w:themeColor="text1"/>
          <w:u w:val="none"/>
        </w:rPr>
        <w:t>Maynard, Patrick (</w:t>
      </w:r>
      <w:r w:rsidR="00C456C5" w:rsidRPr="006363DA">
        <w:rPr>
          <w:rStyle w:val="Hyperlink"/>
          <w:color w:val="000000" w:themeColor="text1"/>
          <w:u w:val="none"/>
        </w:rPr>
        <w:t>2005)</w:t>
      </w:r>
      <w:r w:rsidR="003D17FF">
        <w:rPr>
          <w:rStyle w:val="Hyperlink"/>
          <w:color w:val="000000" w:themeColor="text1"/>
          <w:u w:val="none"/>
        </w:rPr>
        <w:t>,</w:t>
      </w:r>
      <w:r w:rsidR="00C456C5" w:rsidRPr="006363DA">
        <w:rPr>
          <w:rStyle w:val="Hyperlink"/>
          <w:color w:val="000000" w:themeColor="text1"/>
          <w:u w:val="none"/>
        </w:rPr>
        <w:t xml:space="preserve"> </w:t>
      </w:r>
      <w:r w:rsidR="00C456C5" w:rsidRPr="006363DA">
        <w:rPr>
          <w:rStyle w:val="Hyperlink"/>
          <w:i/>
          <w:color w:val="000000" w:themeColor="text1"/>
          <w:u w:val="none"/>
        </w:rPr>
        <w:t xml:space="preserve">Drawing Distinctions. The Varieties of Graphic Expression. </w:t>
      </w:r>
      <w:r w:rsidR="00C456C5" w:rsidRPr="006363DA">
        <w:rPr>
          <w:rStyle w:val="Hyperlink"/>
          <w:color w:val="000000" w:themeColor="text1"/>
          <w:u w:val="none"/>
        </w:rPr>
        <w:t>Ithaca: Cornell U.P.</w:t>
      </w:r>
    </w:p>
    <w:p w14:paraId="3B7402A6" w14:textId="6C96721E" w:rsidR="00B525EC" w:rsidRDefault="00B525EC" w:rsidP="00365F2D">
      <w:pPr>
        <w:pStyle w:val="BodyText"/>
        <w:spacing w:line="240" w:lineRule="auto"/>
        <w:rPr>
          <w:rStyle w:val="Hyperlink"/>
        </w:rPr>
      </w:pPr>
    </w:p>
    <w:p w14:paraId="5F74080F" w14:textId="57313BFA" w:rsidR="005B3EB8" w:rsidRPr="00D82C7E" w:rsidRDefault="005B3EB8" w:rsidP="00365F2D">
      <w:pPr>
        <w:pStyle w:val="BodyText"/>
        <w:spacing w:line="240" w:lineRule="auto"/>
        <w:rPr>
          <w:rStyle w:val="Hyperlink"/>
          <w:color w:val="000000" w:themeColor="text1"/>
        </w:rPr>
      </w:pPr>
      <w:r w:rsidRPr="00D82C7E">
        <w:rPr>
          <w:rStyle w:val="Hyperlink"/>
          <w:color w:val="000000" w:themeColor="text1"/>
        </w:rPr>
        <w:t xml:space="preserve">McGettigan, Andrew </w:t>
      </w:r>
      <w:r w:rsidR="005D6B66">
        <w:rPr>
          <w:rStyle w:val="Hyperlink"/>
          <w:color w:val="000000" w:themeColor="text1"/>
        </w:rPr>
        <w:t>(</w:t>
      </w:r>
      <w:r w:rsidRPr="00D82C7E">
        <w:rPr>
          <w:rStyle w:val="Hyperlink"/>
          <w:color w:val="000000" w:themeColor="text1"/>
        </w:rPr>
        <w:t>2013</w:t>
      </w:r>
      <w:r w:rsidR="005D6B66">
        <w:rPr>
          <w:rStyle w:val="Hyperlink"/>
          <w:color w:val="000000" w:themeColor="text1"/>
        </w:rPr>
        <w:t>)</w:t>
      </w:r>
      <w:r w:rsidR="003D17FF">
        <w:rPr>
          <w:rStyle w:val="Hyperlink"/>
          <w:color w:val="000000" w:themeColor="text1"/>
        </w:rPr>
        <w:t>,</w:t>
      </w:r>
      <w:r w:rsidRPr="00D82C7E">
        <w:rPr>
          <w:rStyle w:val="Hyperlink"/>
          <w:color w:val="000000" w:themeColor="text1"/>
        </w:rPr>
        <w:t xml:space="preserve"> </w:t>
      </w:r>
      <w:r w:rsidRPr="00D82C7E">
        <w:rPr>
          <w:rStyle w:val="Hyperlink"/>
          <w:i/>
          <w:color w:val="000000" w:themeColor="text1"/>
        </w:rPr>
        <w:t xml:space="preserve">The Great University Gamble. Money, Markets and the Future of Higher Education. </w:t>
      </w:r>
      <w:r w:rsidRPr="00D82C7E">
        <w:rPr>
          <w:rStyle w:val="Hyperlink"/>
          <w:color w:val="000000" w:themeColor="text1"/>
        </w:rPr>
        <w:t>London: Pluto Press.</w:t>
      </w:r>
    </w:p>
    <w:p w14:paraId="7A81B644" w14:textId="5D3A55DF" w:rsidR="00286954" w:rsidRPr="00D82C7E" w:rsidRDefault="00286954" w:rsidP="00365F2D">
      <w:pPr>
        <w:pStyle w:val="BodyText"/>
        <w:spacing w:line="240" w:lineRule="auto"/>
        <w:rPr>
          <w:rStyle w:val="Hyperlink"/>
          <w:color w:val="000000" w:themeColor="text1"/>
        </w:rPr>
      </w:pPr>
    </w:p>
    <w:p w14:paraId="21FD3FEE" w14:textId="32A29777" w:rsidR="00286954" w:rsidRPr="00D82C7E" w:rsidRDefault="00286954" w:rsidP="00365F2D">
      <w:pPr>
        <w:pStyle w:val="BodyText"/>
        <w:spacing w:line="240" w:lineRule="auto"/>
        <w:rPr>
          <w:rStyle w:val="Hyperlink"/>
          <w:color w:val="000000" w:themeColor="text1"/>
        </w:rPr>
      </w:pPr>
      <w:r w:rsidRPr="00D82C7E">
        <w:rPr>
          <w:rStyle w:val="Hyperlink"/>
          <w:color w:val="000000" w:themeColor="text1"/>
        </w:rPr>
        <w:t xml:space="preserve">McGettigan, Andrew </w:t>
      </w:r>
      <w:r w:rsidR="005D6B66">
        <w:rPr>
          <w:rStyle w:val="Hyperlink"/>
          <w:color w:val="000000" w:themeColor="text1"/>
        </w:rPr>
        <w:t>(</w:t>
      </w:r>
      <w:r w:rsidRPr="00D82C7E">
        <w:rPr>
          <w:rStyle w:val="Hyperlink"/>
          <w:color w:val="000000" w:themeColor="text1"/>
        </w:rPr>
        <w:t>2015</w:t>
      </w:r>
      <w:r w:rsidR="005D6B66">
        <w:rPr>
          <w:rStyle w:val="Hyperlink"/>
          <w:color w:val="000000" w:themeColor="text1"/>
        </w:rPr>
        <w:t>)</w:t>
      </w:r>
      <w:r w:rsidR="003D17FF">
        <w:rPr>
          <w:rStyle w:val="Hyperlink"/>
          <w:color w:val="000000" w:themeColor="text1"/>
        </w:rPr>
        <w:t>,</w:t>
      </w:r>
      <w:r w:rsidR="00596A4E" w:rsidRPr="00D82C7E">
        <w:rPr>
          <w:rStyle w:val="Hyperlink"/>
          <w:color w:val="000000" w:themeColor="text1"/>
        </w:rPr>
        <w:t xml:space="preserve"> </w:t>
      </w:r>
      <w:r w:rsidR="0072449C">
        <w:rPr>
          <w:rStyle w:val="Hyperlink"/>
          <w:color w:val="000000" w:themeColor="text1"/>
        </w:rPr>
        <w:t>‘</w:t>
      </w:r>
      <w:r w:rsidRPr="00D82C7E">
        <w:rPr>
          <w:rStyle w:val="Hyperlink"/>
          <w:color w:val="000000" w:themeColor="text1"/>
        </w:rPr>
        <w:t xml:space="preserve">The </w:t>
      </w:r>
      <w:r w:rsidR="00A326E1">
        <w:rPr>
          <w:rStyle w:val="Hyperlink"/>
          <w:color w:val="000000" w:themeColor="text1"/>
        </w:rPr>
        <w:t>t</w:t>
      </w:r>
      <w:r w:rsidRPr="00D82C7E">
        <w:rPr>
          <w:rStyle w:val="Hyperlink"/>
          <w:color w:val="000000" w:themeColor="text1"/>
        </w:rPr>
        <w:t xml:space="preserve">reasury </w:t>
      </w:r>
      <w:r w:rsidR="00A326E1">
        <w:rPr>
          <w:rStyle w:val="Hyperlink"/>
          <w:color w:val="000000" w:themeColor="text1"/>
        </w:rPr>
        <w:t>v</w:t>
      </w:r>
      <w:r w:rsidRPr="00D82C7E">
        <w:rPr>
          <w:rStyle w:val="Hyperlink"/>
          <w:color w:val="000000" w:themeColor="text1"/>
        </w:rPr>
        <w:t xml:space="preserve">iew of HE: </w:t>
      </w:r>
      <w:r w:rsidR="00A326E1">
        <w:rPr>
          <w:rStyle w:val="Hyperlink"/>
          <w:color w:val="000000" w:themeColor="text1"/>
        </w:rPr>
        <w:t>v</w:t>
      </w:r>
      <w:r w:rsidRPr="00D82C7E">
        <w:rPr>
          <w:rStyle w:val="Hyperlink"/>
          <w:color w:val="000000" w:themeColor="text1"/>
        </w:rPr>
        <w:t xml:space="preserve">ariable </w:t>
      </w:r>
      <w:r w:rsidR="00A326E1">
        <w:rPr>
          <w:rStyle w:val="Hyperlink"/>
          <w:color w:val="000000" w:themeColor="text1"/>
        </w:rPr>
        <w:t>h</w:t>
      </w:r>
      <w:r w:rsidRPr="00D82C7E">
        <w:rPr>
          <w:rStyle w:val="Hyperlink"/>
          <w:color w:val="000000" w:themeColor="text1"/>
        </w:rPr>
        <w:t xml:space="preserve">uman </w:t>
      </w:r>
      <w:r w:rsidR="00A326E1">
        <w:rPr>
          <w:rStyle w:val="Hyperlink"/>
          <w:color w:val="000000" w:themeColor="text1"/>
        </w:rPr>
        <w:t>c</w:t>
      </w:r>
      <w:r w:rsidRPr="00D82C7E">
        <w:rPr>
          <w:rStyle w:val="Hyperlink"/>
          <w:color w:val="000000" w:themeColor="text1"/>
        </w:rPr>
        <w:t xml:space="preserve">apital </w:t>
      </w:r>
      <w:r w:rsidR="00A326E1">
        <w:rPr>
          <w:rStyle w:val="Hyperlink"/>
          <w:color w:val="000000" w:themeColor="text1"/>
        </w:rPr>
        <w:t>i</w:t>
      </w:r>
      <w:r w:rsidRPr="00D82C7E">
        <w:rPr>
          <w:rStyle w:val="Hyperlink"/>
          <w:color w:val="000000" w:themeColor="text1"/>
        </w:rPr>
        <w:t>nvestment.</w:t>
      </w:r>
      <w:r w:rsidR="0072449C">
        <w:rPr>
          <w:rStyle w:val="Hyperlink"/>
          <w:color w:val="000000" w:themeColor="text1"/>
        </w:rPr>
        <w:t>’</w:t>
      </w:r>
      <w:r w:rsidRPr="00D82C7E">
        <w:rPr>
          <w:rStyle w:val="Hyperlink"/>
          <w:color w:val="000000" w:themeColor="text1"/>
        </w:rPr>
        <w:t xml:space="preserve"> </w:t>
      </w:r>
      <w:r w:rsidRPr="00D82C7E">
        <w:rPr>
          <w:rStyle w:val="Hyperlink"/>
          <w:i/>
          <w:color w:val="000000" w:themeColor="text1"/>
        </w:rPr>
        <w:t>Political Economy Research Centre (PERC)</w:t>
      </w:r>
      <w:r w:rsidR="006E4CE7" w:rsidRPr="00D82C7E">
        <w:rPr>
          <w:rStyle w:val="Hyperlink"/>
          <w:i/>
          <w:color w:val="000000" w:themeColor="text1"/>
        </w:rPr>
        <w:t xml:space="preserve"> </w:t>
      </w:r>
      <w:r w:rsidR="006E4CE7" w:rsidRPr="00D82C7E">
        <w:rPr>
          <w:rStyle w:val="Hyperlink"/>
          <w:color w:val="000000" w:themeColor="text1"/>
        </w:rPr>
        <w:t>Paper No. 6.</w:t>
      </w:r>
      <w:r w:rsidR="006E4CE7" w:rsidRPr="00D82C7E">
        <w:rPr>
          <w:rStyle w:val="Hyperlink"/>
          <w:i/>
          <w:color w:val="000000" w:themeColor="text1"/>
        </w:rPr>
        <w:t xml:space="preserve"> </w:t>
      </w:r>
      <w:r w:rsidR="006E4CE7" w:rsidRPr="00D82C7E">
        <w:rPr>
          <w:rStyle w:val="Hyperlink"/>
          <w:color w:val="000000" w:themeColor="text1"/>
        </w:rPr>
        <w:t>London: Goldsmiths, University of London.</w:t>
      </w:r>
    </w:p>
    <w:p w14:paraId="01A0F210" w14:textId="16730E61" w:rsidR="006835E2" w:rsidRPr="00D82C7E" w:rsidRDefault="006835E2" w:rsidP="00365F2D">
      <w:pPr>
        <w:pStyle w:val="BodyText"/>
        <w:spacing w:line="240" w:lineRule="auto"/>
        <w:rPr>
          <w:rStyle w:val="Hyperlink"/>
          <w:color w:val="000000" w:themeColor="text1"/>
        </w:rPr>
      </w:pPr>
    </w:p>
    <w:p w14:paraId="56FB6C6A" w14:textId="284DE437" w:rsidR="006835E2" w:rsidRDefault="006835E2" w:rsidP="00365F2D">
      <w:pPr>
        <w:pStyle w:val="BodyText"/>
        <w:spacing w:line="240" w:lineRule="auto"/>
        <w:rPr>
          <w:rStyle w:val="Hyperlink"/>
          <w:color w:val="000000" w:themeColor="text1"/>
          <w:u w:val="none"/>
        </w:rPr>
      </w:pPr>
      <w:r w:rsidRPr="00D82C7E">
        <w:rPr>
          <w:rStyle w:val="Hyperlink"/>
          <w:color w:val="000000" w:themeColor="text1"/>
          <w:u w:val="none"/>
        </w:rPr>
        <w:t>Mitchell, W</w:t>
      </w:r>
      <w:r w:rsidR="00EE2585" w:rsidRPr="00D82C7E">
        <w:rPr>
          <w:rStyle w:val="Hyperlink"/>
          <w:color w:val="000000" w:themeColor="text1"/>
          <w:u w:val="none"/>
        </w:rPr>
        <w:t>illiam</w:t>
      </w:r>
      <w:r w:rsidR="007437A0">
        <w:rPr>
          <w:rStyle w:val="Hyperlink"/>
          <w:color w:val="000000" w:themeColor="text1"/>
          <w:u w:val="none"/>
        </w:rPr>
        <w:t xml:space="preserve"> </w:t>
      </w:r>
      <w:r w:rsidRPr="00D82C7E">
        <w:rPr>
          <w:rStyle w:val="Hyperlink"/>
          <w:color w:val="000000" w:themeColor="text1"/>
          <w:u w:val="none"/>
        </w:rPr>
        <w:t xml:space="preserve">J.T. </w:t>
      </w:r>
      <w:r w:rsidR="005D6B66">
        <w:rPr>
          <w:rStyle w:val="Hyperlink"/>
          <w:color w:val="000000" w:themeColor="text1"/>
          <w:u w:val="none"/>
        </w:rPr>
        <w:t>(</w:t>
      </w:r>
      <w:r w:rsidRPr="00D82C7E">
        <w:rPr>
          <w:rStyle w:val="Hyperlink"/>
          <w:color w:val="000000" w:themeColor="text1"/>
          <w:u w:val="none"/>
        </w:rPr>
        <w:t>2008</w:t>
      </w:r>
      <w:r w:rsidR="005D6B66">
        <w:rPr>
          <w:rStyle w:val="Hyperlink"/>
          <w:color w:val="000000" w:themeColor="text1"/>
          <w:u w:val="none"/>
        </w:rPr>
        <w:t>)</w:t>
      </w:r>
      <w:r w:rsidR="003D17FF">
        <w:rPr>
          <w:rStyle w:val="Hyperlink"/>
          <w:color w:val="000000" w:themeColor="text1"/>
          <w:u w:val="none"/>
        </w:rPr>
        <w:t>,</w:t>
      </w:r>
      <w:r w:rsidRPr="00D82C7E">
        <w:rPr>
          <w:rStyle w:val="Hyperlink"/>
          <w:color w:val="000000" w:themeColor="text1"/>
          <w:u w:val="none"/>
        </w:rPr>
        <w:t xml:space="preserve"> </w:t>
      </w:r>
      <w:r w:rsidR="0072449C">
        <w:rPr>
          <w:rStyle w:val="Hyperlink"/>
          <w:color w:val="000000" w:themeColor="text1"/>
          <w:u w:val="none"/>
        </w:rPr>
        <w:t>‘</w:t>
      </w:r>
      <w:r w:rsidRPr="00D82C7E">
        <w:rPr>
          <w:rStyle w:val="Hyperlink"/>
          <w:color w:val="000000" w:themeColor="text1"/>
          <w:u w:val="none"/>
        </w:rPr>
        <w:t xml:space="preserve">Visual literacy or literary </w:t>
      </w:r>
      <w:proofErr w:type="spellStart"/>
      <w:r w:rsidRPr="00D82C7E">
        <w:rPr>
          <w:rStyle w:val="Hyperlink"/>
          <w:color w:val="000000" w:themeColor="text1"/>
          <w:u w:val="none"/>
        </w:rPr>
        <w:t>visualcy</w:t>
      </w:r>
      <w:proofErr w:type="spellEnd"/>
      <w:r w:rsidRPr="00D82C7E">
        <w:rPr>
          <w:rStyle w:val="Hyperlink"/>
          <w:color w:val="000000" w:themeColor="text1"/>
          <w:u w:val="none"/>
        </w:rPr>
        <w:t>?</w:t>
      </w:r>
      <w:r w:rsidR="0072449C">
        <w:rPr>
          <w:rStyle w:val="Hyperlink"/>
          <w:color w:val="000000" w:themeColor="text1"/>
          <w:u w:val="none"/>
        </w:rPr>
        <w:t>’</w:t>
      </w:r>
      <w:r w:rsidRPr="00D82C7E">
        <w:rPr>
          <w:rStyle w:val="Hyperlink"/>
          <w:color w:val="000000" w:themeColor="text1"/>
          <w:u w:val="none"/>
        </w:rPr>
        <w:t xml:space="preserve"> In Elkins, J. (ed.) </w:t>
      </w:r>
      <w:r w:rsidRPr="00D82C7E">
        <w:rPr>
          <w:rStyle w:val="Hyperlink"/>
          <w:i/>
          <w:color w:val="000000" w:themeColor="text1"/>
          <w:u w:val="none"/>
        </w:rPr>
        <w:t xml:space="preserve">Visual Literacy. </w:t>
      </w:r>
      <w:r w:rsidRPr="00D82C7E">
        <w:rPr>
          <w:rStyle w:val="Hyperlink"/>
          <w:color w:val="000000" w:themeColor="text1"/>
          <w:u w:val="none"/>
        </w:rPr>
        <w:t xml:space="preserve">London: Routledge. pp11-29. </w:t>
      </w:r>
    </w:p>
    <w:p w14:paraId="306F3D75" w14:textId="369573F7" w:rsidR="00244B4A" w:rsidRDefault="00244B4A" w:rsidP="00365F2D">
      <w:pPr>
        <w:pStyle w:val="BodyText"/>
        <w:spacing w:line="240" w:lineRule="auto"/>
        <w:rPr>
          <w:rStyle w:val="Hyperlink"/>
          <w:color w:val="000000" w:themeColor="text1"/>
          <w:u w:val="none"/>
        </w:rPr>
      </w:pPr>
    </w:p>
    <w:p w14:paraId="1E8EA8FE" w14:textId="102200C2" w:rsidR="00244B4A" w:rsidRPr="00244B4A" w:rsidRDefault="00244B4A" w:rsidP="00365F2D">
      <w:pPr>
        <w:pStyle w:val="BodyText"/>
        <w:spacing w:line="240" w:lineRule="auto"/>
        <w:rPr>
          <w:rStyle w:val="Hyperlink"/>
          <w:color w:val="000000" w:themeColor="text1"/>
          <w:u w:val="none"/>
        </w:rPr>
      </w:pPr>
      <w:proofErr w:type="spellStart"/>
      <w:r>
        <w:rPr>
          <w:rStyle w:val="Hyperlink"/>
          <w:color w:val="000000" w:themeColor="text1"/>
          <w:u w:val="none"/>
        </w:rPr>
        <w:t>Mithen</w:t>
      </w:r>
      <w:proofErr w:type="spellEnd"/>
      <w:r>
        <w:rPr>
          <w:rStyle w:val="Hyperlink"/>
          <w:color w:val="000000" w:themeColor="text1"/>
          <w:u w:val="none"/>
        </w:rPr>
        <w:t xml:space="preserve">, Steven </w:t>
      </w:r>
      <w:r w:rsidR="005D6B66">
        <w:rPr>
          <w:rStyle w:val="Hyperlink"/>
          <w:color w:val="000000" w:themeColor="text1"/>
          <w:u w:val="none"/>
        </w:rPr>
        <w:t>(</w:t>
      </w:r>
      <w:r>
        <w:rPr>
          <w:rStyle w:val="Hyperlink"/>
          <w:color w:val="000000" w:themeColor="text1"/>
          <w:u w:val="none"/>
        </w:rPr>
        <w:t>1996</w:t>
      </w:r>
      <w:r w:rsidR="005D6B66">
        <w:rPr>
          <w:rStyle w:val="Hyperlink"/>
          <w:color w:val="000000" w:themeColor="text1"/>
          <w:u w:val="none"/>
        </w:rPr>
        <w:t>)</w:t>
      </w:r>
      <w:r w:rsidR="003D17FF">
        <w:rPr>
          <w:rStyle w:val="Hyperlink"/>
          <w:color w:val="000000" w:themeColor="text1"/>
          <w:u w:val="none"/>
        </w:rPr>
        <w:t>,</w:t>
      </w:r>
      <w:r>
        <w:rPr>
          <w:rStyle w:val="Hyperlink"/>
          <w:color w:val="000000" w:themeColor="text1"/>
          <w:u w:val="none"/>
        </w:rPr>
        <w:t xml:space="preserve"> </w:t>
      </w:r>
      <w:r>
        <w:rPr>
          <w:rStyle w:val="Hyperlink"/>
          <w:i/>
          <w:color w:val="000000" w:themeColor="text1"/>
          <w:u w:val="none"/>
        </w:rPr>
        <w:t xml:space="preserve">The Prehistory of the Mind. A Search for the Origins of Art, Religion and Science. </w:t>
      </w:r>
      <w:r>
        <w:rPr>
          <w:rStyle w:val="Hyperlink"/>
          <w:color w:val="000000" w:themeColor="text1"/>
          <w:u w:val="none"/>
        </w:rPr>
        <w:t>London: Routledge.</w:t>
      </w:r>
    </w:p>
    <w:p w14:paraId="5C5D15A4" w14:textId="33F17258" w:rsidR="009F6AB3" w:rsidRPr="00D82C7E" w:rsidRDefault="009F6AB3" w:rsidP="00365F2D">
      <w:pPr>
        <w:pStyle w:val="BodyText"/>
        <w:spacing w:line="240" w:lineRule="auto"/>
        <w:rPr>
          <w:rStyle w:val="Hyperlink"/>
          <w:color w:val="000000" w:themeColor="text1"/>
          <w:u w:val="none"/>
        </w:rPr>
      </w:pPr>
    </w:p>
    <w:p w14:paraId="431720B3" w14:textId="0383CAD4" w:rsidR="009F6AB3" w:rsidRPr="00E46E13" w:rsidRDefault="009F6AB3" w:rsidP="009F6AB3">
      <w:pPr>
        <w:rPr>
          <w:rFonts w:eastAsia="Calibri"/>
        </w:rPr>
      </w:pPr>
      <w:r w:rsidRPr="00E46E13">
        <w:rPr>
          <w:rFonts w:eastAsia="Calibri"/>
        </w:rPr>
        <w:t xml:space="preserve">Ofsted </w:t>
      </w:r>
      <w:r w:rsidR="005D6B66">
        <w:rPr>
          <w:rFonts w:eastAsia="Calibri"/>
        </w:rPr>
        <w:t>(</w:t>
      </w:r>
      <w:r w:rsidRPr="00E46E13">
        <w:rPr>
          <w:rFonts w:eastAsia="Calibri"/>
        </w:rPr>
        <w:t>2011</w:t>
      </w:r>
      <w:r w:rsidR="005D6B66">
        <w:rPr>
          <w:rFonts w:eastAsia="Calibri"/>
        </w:rPr>
        <w:t>)</w:t>
      </w:r>
      <w:r w:rsidR="003D17FF">
        <w:rPr>
          <w:rFonts w:eastAsia="Calibri"/>
        </w:rPr>
        <w:t>,</w:t>
      </w:r>
      <w:r w:rsidRPr="00E46E13">
        <w:rPr>
          <w:rFonts w:eastAsia="Calibri"/>
        </w:rPr>
        <w:t xml:space="preserve"> </w:t>
      </w:r>
      <w:r w:rsidRPr="00E46E13">
        <w:rPr>
          <w:rFonts w:eastAsia="Calibri"/>
          <w:i/>
        </w:rPr>
        <w:t>Making a Mark: Art, Craft &amp; Design Education</w:t>
      </w:r>
      <w:r w:rsidRPr="00E46E13">
        <w:rPr>
          <w:color w:val="1C1D1E"/>
        </w:rPr>
        <w:t>. Available at:</w:t>
      </w:r>
    </w:p>
    <w:p w14:paraId="694E448C" w14:textId="6EC79D40" w:rsidR="009F6AB3" w:rsidRPr="00811433" w:rsidRDefault="00777159" w:rsidP="009F6AB3">
      <w:pPr>
        <w:rPr>
          <w:rFonts w:eastAsia="Calibri"/>
        </w:rPr>
      </w:pPr>
      <w:hyperlink r:id="rId14">
        <w:r w:rsidR="009F6AB3" w:rsidRPr="00811433">
          <w:rPr>
            <w:rFonts w:eastAsia="Calibri"/>
            <w:color w:val="1155CC"/>
            <w:u w:val="single"/>
          </w:rPr>
          <w:t>https://assets.publishing.service.gov.uk/government/uploads/system/uploads/attachment_data/file/413334/Making_a_mark_-_art_craft_and_design_education_2008-11_-_high_resolution.pdf</w:t>
        </w:r>
      </w:hyperlink>
      <w:r w:rsidR="009F6AB3" w:rsidRPr="00811433">
        <w:rPr>
          <w:rFonts w:eastAsia="Calibri"/>
        </w:rPr>
        <w:t xml:space="preserve"> (</w:t>
      </w:r>
      <w:r w:rsidR="00D50DE9">
        <w:rPr>
          <w:rFonts w:eastAsia="Calibri"/>
        </w:rPr>
        <w:t>A</w:t>
      </w:r>
      <w:r w:rsidR="009F6AB3" w:rsidRPr="00811433">
        <w:rPr>
          <w:rFonts w:eastAsia="Calibri"/>
        </w:rPr>
        <w:t xml:space="preserve">ccessed </w:t>
      </w:r>
      <w:r w:rsidR="00D50DE9">
        <w:rPr>
          <w:rFonts w:eastAsia="Calibri"/>
        </w:rPr>
        <w:t>13</w:t>
      </w:r>
      <w:r w:rsidR="009F6AB3" w:rsidRPr="00811433">
        <w:rPr>
          <w:rFonts w:eastAsia="Calibri"/>
        </w:rPr>
        <w:t xml:space="preserve"> </w:t>
      </w:r>
      <w:r w:rsidR="00D50DE9">
        <w:rPr>
          <w:rFonts w:eastAsia="Calibri"/>
        </w:rPr>
        <w:t>May</w:t>
      </w:r>
      <w:r w:rsidR="009F6AB3" w:rsidRPr="00811433">
        <w:rPr>
          <w:rFonts w:eastAsia="Calibri"/>
        </w:rPr>
        <w:t xml:space="preserve"> 20</w:t>
      </w:r>
      <w:r w:rsidR="00D50DE9">
        <w:rPr>
          <w:rFonts w:eastAsia="Calibri"/>
        </w:rPr>
        <w:t>21</w:t>
      </w:r>
      <w:r w:rsidR="009F6AB3" w:rsidRPr="00811433">
        <w:rPr>
          <w:rFonts w:eastAsia="Calibri"/>
        </w:rPr>
        <w:t>).</w:t>
      </w:r>
    </w:p>
    <w:p w14:paraId="4E2CCB1C" w14:textId="11E12B78" w:rsidR="007F6BA3" w:rsidRPr="00696BCB" w:rsidRDefault="007F6BA3" w:rsidP="00365F2D">
      <w:pPr>
        <w:pStyle w:val="BodyText"/>
        <w:spacing w:line="240" w:lineRule="auto"/>
        <w:rPr>
          <w:rStyle w:val="Hyperlink"/>
          <w:color w:val="000000" w:themeColor="text1"/>
        </w:rPr>
      </w:pPr>
    </w:p>
    <w:p w14:paraId="6294E6CA" w14:textId="7F1BD946" w:rsidR="007F6BA3" w:rsidRPr="00696BCB" w:rsidRDefault="007F6BA3" w:rsidP="00365F2D">
      <w:pPr>
        <w:pStyle w:val="BodyText"/>
        <w:spacing w:line="240" w:lineRule="auto"/>
        <w:rPr>
          <w:rStyle w:val="Hyperlink"/>
          <w:color w:val="000000" w:themeColor="text1"/>
          <w:u w:val="none"/>
        </w:rPr>
      </w:pPr>
      <w:r w:rsidRPr="00696BCB">
        <w:rPr>
          <w:rStyle w:val="Hyperlink"/>
          <w:color w:val="000000" w:themeColor="text1"/>
          <w:u w:val="none"/>
        </w:rPr>
        <w:t xml:space="preserve">O’Toole, Michael </w:t>
      </w:r>
      <w:r w:rsidR="005D6B66">
        <w:rPr>
          <w:rStyle w:val="Hyperlink"/>
          <w:color w:val="000000" w:themeColor="text1"/>
          <w:u w:val="none"/>
        </w:rPr>
        <w:t>(</w:t>
      </w:r>
      <w:r w:rsidRPr="00696BCB">
        <w:rPr>
          <w:rStyle w:val="Hyperlink"/>
          <w:color w:val="000000" w:themeColor="text1"/>
          <w:u w:val="none"/>
        </w:rPr>
        <w:t>2005</w:t>
      </w:r>
      <w:r w:rsidR="005D6B66">
        <w:rPr>
          <w:rStyle w:val="Hyperlink"/>
          <w:color w:val="000000" w:themeColor="text1"/>
          <w:u w:val="none"/>
        </w:rPr>
        <w:t>)</w:t>
      </w:r>
      <w:r w:rsidR="003D17FF">
        <w:rPr>
          <w:rStyle w:val="Hyperlink"/>
          <w:color w:val="000000" w:themeColor="text1"/>
          <w:u w:val="none"/>
        </w:rPr>
        <w:t>,</w:t>
      </w:r>
      <w:r w:rsidR="00596A4E">
        <w:rPr>
          <w:rStyle w:val="Hyperlink"/>
          <w:color w:val="000000" w:themeColor="text1"/>
          <w:u w:val="none"/>
        </w:rPr>
        <w:t xml:space="preserve"> </w:t>
      </w:r>
      <w:r w:rsidR="0072449C">
        <w:rPr>
          <w:rStyle w:val="Hyperlink"/>
          <w:color w:val="000000" w:themeColor="text1"/>
          <w:u w:val="none"/>
        </w:rPr>
        <w:t>‘</w:t>
      </w:r>
      <w:r w:rsidRPr="00696BCB">
        <w:rPr>
          <w:rStyle w:val="Hyperlink"/>
          <w:color w:val="000000" w:themeColor="text1"/>
          <w:u w:val="none"/>
        </w:rPr>
        <w:t xml:space="preserve">Pushing </w:t>
      </w:r>
      <w:r w:rsidR="0058563F">
        <w:rPr>
          <w:rStyle w:val="Hyperlink"/>
          <w:color w:val="000000" w:themeColor="text1"/>
          <w:u w:val="none"/>
        </w:rPr>
        <w:t>o</w:t>
      </w:r>
      <w:r w:rsidRPr="00696BCB">
        <w:rPr>
          <w:rStyle w:val="Hyperlink"/>
          <w:color w:val="000000" w:themeColor="text1"/>
          <w:u w:val="none"/>
        </w:rPr>
        <w:t xml:space="preserve">ut the </w:t>
      </w:r>
      <w:r w:rsidR="0058563F">
        <w:rPr>
          <w:rStyle w:val="Hyperlink"/>
          <w:color w:val="000000" w:themeColor="text1"/>
          <w:u w:val="none"/>
        </w:rPr>
        <w:t>b</w:t>
      </w:r>
      <w:r w:rsidRPr="00696BCB">
        <w:rPr>
          <w:rStyle w:val="Hyperlink"/>
          <w:color w:val="000000" w:themeColor="text1"/>
          <w:u w:val="none"/>
        </w:rPr>
        <w:t xml:space="preserve">oundaries: </w:t>
      </w:r>
      <w:r w:rsidR="0058563F">
        <w:rPr>
          <w:rStyle w:val="Hyperlink"/>
          <w:color w:val="000000" w:themeColor="text1"/>
          <w:u w:val="none"/>
        </w:rPr>
        <w:t>d</w:t>
      </w:r>
      <w:r w:rsidRPr="00696BCB">
        <w:rPr>
          <w:rStyle w:val="Hyperlink"/>
          <w:color w:val="000000" w:themeColor="text1"/>
          <w:u w:val="none"/>
        </w:rPr>
        <w:t xml:space="preserve">esigning a </w:t>
      </w:r>
      <w:r w:rsidR="0058563F">
        <w:rPr>
          <w:rStyle w:val="Hyperlink"/>
          <w:color w:val="000000" w:themeColor="text1"/>
          <w:u w:val="none"/>
        </w:rPr>
        <w:t>s</w:t>
      </w:r>
      <w:r w:rsidRPr="00696BCB">
        <w:rPr>
          <w:rStyle w:val="Hyperlink"/>
          <w:color w:val="000000" w:themeColor="text1"/>
          <w:u w:val="none"/>
        </w:rPr>
        <w:t>ystemic-</w:t>
      </w:r>
      <w:r w:rsidR="0058563F">
        <w:rPr>
          <w:rStyle w:val="Hyperlink"/>
          <w:color w:val="000000" w:themeColor="text1"/>
          <w:u w:val="none"/>
        </w:rPr>
        <w:t>f</w:t>
      </w:r>
      <w:r w:rsidRPr="00696BCB">
        <w:rPr>
          <w:rStyle w:val="Hyperlink"/>
          <w:color w:val="000000" w:themeColor="text1"/>
          <w:u w:val="none"/>
        </w:rPr>
        <w:t xml:space="preserve">unctional </w:t>
      </w:r>
      <w:r w:rsidR="0058563F">
        <w:rPr>
          <w:rStyle w:val="Hyperlink"/>
          <w:color w:val="000000" w:themeColor="text1"/>
          <w:u w:val="none"/>
        </w:rPr>
        <w:t>m</w:t>
      </w:r>
      <w:r w:rsidRPr="00696BCB">
        <w:rPr>
          <w:rStyle w:val="Hyperlink"/>
          <w:color w:val="000000" w:themeColor="text1"/>
          <w:u w:val="none"/>
        </w:rPr>
        <w:t xml:space="preserve">odel for </w:t>
      </w:r>
      <w:r w:rsidR="0058563F">
        <w:rPr>
          <w:rStyle w:val="Hyperlink"/>
          <w:color w:val="000000" w:themeColor="text1"/>
          <w:u w:val="none"/>
        </w:rPr>
        <w:t>n</w:t>
      </w:r>
      <w:r w:rsidRPr="00696BCB">
        <w:rPr>
          <w:rStyle w:val="Hyperlink"/>
          <w:color w:val="000000" w:themeColor="text1"/>
          <w:u w:val="none"/>
        </w:rPr>
        <w:t xml:space="preserve">on-European </w:t>
      </w:r>
      <w:r w:rsidR="0058563F">
        <w:rPr>
          <w:rStyle w:val="Hyperlink"/>
          <w:color w:val="000000" w:themeColor="text1"/>
          <w:u w:val="none"/>
        </w:rPr>
        <w:t>v</w:t>
      </w:r>
      <w:r w:rsidRPr="00696BCB">
        <w:rPr>
          <w:rStyle w:val="Hyperlink"/>
          <w:color w:val="000000" w:themeColor="text1"/>
          <w:u w:val="none"/>
        </w:rPr>
        <w:t xml:space="preserve">isual </w:t>
      </w:r>
      <w:r w:rsidR="0058563F">
        <w:rPr>
          <w:rStyle w:val="Hyperlink"/>
          <w:color w:val="000000" w:themeColor="text1"/>
          <w:u w:val="none"/>
        </w:rPr>
        <w:t>a</w:t>
      </w:r>
      <w:r w:rsidRPr="00696BCB">
        <w:rPr>
          <w:rStyle w:val="Hyperlink"/>
          <w:color w:val="000000" w:themeColor="text1"/>
          <w:u w:val="none"/>
        </w:rPr>
        <w:t>rts</w:t>
      </w:r>
      <w:r w:rsidR="00596A4E">
        <w:rPr>
          <w:rStyle w:val="Hyperlink"/>
          <w:color w:val="000000" w:themeColor="text1"/>
          <w:u w:val="none"/>
        </w:rPr>
        <w:t>.</w:t>
      </w:r>
      <w:r w:rsidR="0072449C">
        <w:rPr>
          <w:rStyle w:val="Hyperlink"/>
          <w:color w:val="000000" w:themeColor="text1"/>
          <w:u w:val="none"/>
        </w:rPr>
        <w:t>’</w:t>
      </w:r>
      <w:r w:rsidRPr="00696BCB">
        <w:rPr>
          <w:rStyle w:val="Hyperlink"/>
          <w:color w:val="000000" w:themeColor="text1"/>
          <w:u w:val="none"/>
        </w:rPr>
        <w:t xml:space="preserve"> </w:t>
      </w:r>
      <w:r w:rsidRPr="00696BCB">
        <w:rPr>
          <w:rStyle w:val="Hyperlink"/>
          <w:i/>
          <w:color w:val="000000" w:themeColor="text1"/>
          <w:u w:val="none"/>
        </w:rPr>
        <w:t>Linguistics and the Human Sciences</w:t>
      </w:r>
      <w:r w:rsidR="00B62D10">
        <w:rPr>
          <w:rStyle w:val="Hyperlink"/>
          <w:i/>
          <w:color w:val="000000" w:themeColor="text1"/>
          <w:u w:val="none"/>
        </w:rPr>
        <w:t>.</w:t>
      </w:r>
      <w:r w:rsidRPr="00696BCB">
        <w:rPr>
          <w:rStyle w:val="Hyperlink"/>
          <w:i/>
          <w:color w:val="000000" w:themeColor="text1"/>
          <w:u w:val="none"/>
        </w:rPr>
        <w:t xml:space="preserve"> </w:t>
      </w:r>
      <w:r w:rsidRPr="00696BCB">
        <w:rPr>
          <w:rStyle w:val="Hyperlink"/>
          <w:color w:val="000000" w:themeColor="text1"/>
          <w:u w:val="none"/>
        </w:rPr>
        <w:t>1:1 pp83-</w:t>
      </w:r>
      <w:r w:rsidR="00DB06FD" w:rsidRPr="00696BCB">
        <w:rPr>
          <w:rStyle w:val="Hyperlink"/>
          <w:color w:val="000000" w:themeColor="text1"/>
          <w:u w:val="none"/>
        </w:rPr>
        <w:t>97.</w:t>
      </w:r>
    </w:p>
    <w:p w14:paraId="0E586AB1" w14:textId="77777777" w:rsidR="004E6CAE" w:rsidRDefault="004E6CAE" w:rsidP="00365F2D">
      <w:pPr>
        <w:pStyle w:val="BodyText"/>
        <w:spacing w:line="240" w:lineRule="auto"/>
      </w:pPr>
    </w:p>
    <w:p w14:paraId="563599A9" w14:textId="565D0058" w:rsidR="004E6CAE" w:rsidRDefault="004E6CAE" w:rsidP="004E6CAE">
      <w:pPr>
        <w:autoSpaceDE w:val="0"/>
        <w:autoSpaceDN w:val="0"/>
        <w:adjustRightInd w:val="0"/>
        <w:spacing w:line="480" w:lineRule="auto"/>
        <w:rPr>
          <w:rFonts w:eastAsiaTheme="minorEastAsia"/>
          <w:lang w:val="en-US"/>
        </w:rPr>
      </w:pPr>
      <w:r>
        <w:rPr>
          <w:rFonts w:eastAsiaTheme="minorEastAsia"/>
          <w:lang w:val="en-US"/>
        </w:rPr>
        <w:t>O’Toole</w:t>
      </w:r>
      <w:r w:rsidR="007F6BA3">
        <w:rPr>
          <w:rFonts w:eastAsiaTheme="minorEastAsia"/>
          <w:lang w:val="en-US"/>
        </w:rPr>
        <w:t>, Michael</w:t>
      </w:r>
      <w:r>
        <w:rPr>
          <w:rFonts w:eastAsiaTheme="minorEastAsia"/>
          <w:lang w:val="en-US"/>
        </w:rPr>
        <w:t xml:space="preserve"> </w:t>
      </w:r>
      <w:r w:rsidR="005D6B66">
        <w:rPr>
          <w:rFonts w:eastAsiaTheme="minorEastAsia"/>
          <w:lang w:val="en-US"/>
        </w:rPr>
        <w:t>(</w:t>
      </w:r>
      <w:r>
        <w:rPr>
          <w:rFonts w:eastAsiaTheme="minorEastAsia"/>
          <w:lang w:val="en-US"/>
        </w:rPr>
        <w:t>2011</w:t>
      </w:r>
      <w:r w:rsidR="005D6B66">
        <w:rPr>
          <w:rFonts w:eastAsiaTheme="minorEastAsia"/>
          <w:lang w:val="en-US"/>
        </w:rPr>
        <w:t>)</w:t>
      </w:r>
      <w:r w:rsidR="003D17FF">
        <w:rPr>
          <w:rFonts w:eastAsiaTheme="minorEastAsia"/>
          <w:lang w:val="en-US"/>
        </w:rPr>
        <w:t>,</w:t>
      </w:r>
      <w:r w:rsidR="007F6BA3">
        <w:rPr>
          <w:rFonts w:eastAsiaTheme="minorEastAsia"/>
          <w:lang w:val="en-US"/>
        </w:rPr>
        <w:t xml:space="preserve"> </w:t>
      </w:r>
      <w:r w:rsidR="007F6BA3">
        <w:rPr>
          <w:rFonts w:eastAsiaTheme="minorEastAsia"/>
          <w:i/>
          <w:lang w:val="en-US"/>
        </w:rPr>
        <w:t>The Language of Displayed Ar</w:t>
      </w:r>
      <w:r w:rsidR="00596A4E">
        <w:rPr>
          <w:rFonts w:eastAsiaTheme="minorEastAsia"/>
          <w:i/>
          <w:lang w:val="en-US"/>
        </w:rPr>
        <w:t>t.</w:t>
      </w:r>
      <w:r w:rsidR="007F6BA3">
        <w:rPr>
          <w:rFonts w:eastAsiaTheme="minorEastAsia"/>
          <w:i/>
          <w:lang w:val="en-US"/>
        </w:rPr>
        <w:t xml:space="preserve"> </w:t>
      </w:r>
      <w:r w:rsidR="007F6BA3">
        <w:rPr>
          <w:rFonts w:eastAsiaTheme="minorEastAsia"/>
          <w:lang w:val="en-US"/>
        </w:rPr>
        <w:t>2</w:t>
      </w:r>
      <w:r w:rsidR="007F6BA3" w:rsidRPr="00052142">
        <w:rPr>
          <w:rFonts w:eastAsiaTheme="minorEastAsia"/>
          <w:vertAlign w:val="superscript"/>
          <w:lang w:val="en-US"/>
        </w:rPr>
        <w:t>nd</w:t>
      </w:r>
      <w:r w:rsidR="007F6BA3">
        <w:rPr>
          <w:rFonts w:eastAsiaTheme="minorEastAsia"/>
          <w:lang w:val="en-US"/>
        </w:rPr>
        <w:t xml:space="preserve"> ed.</w:t>
      </w:r>
      <w:r>
        <w:rPr>
          <w:rFonts w:eastAsiaTheme="minorEastAsia"/>
          <w:lang w:val="en-US"/>
        </w:rPr>
        <w:t xml:space="preserve"> </w:t>
      </w:r>
      <w:r w:rsidR="007F6BA3">
        <w:rPr>
          <w:rFonts w:eastAsiaTheme="minorEastAsia"/>
          <w:lang w:val="en-US"/>
        </w:rPr>
        <w:t>London: Routledge.</w:t>
      </w:r>
    </w:p>
    <w:p w14:paraId="313D9047" w14:textId="4E0D2D68" w:rsidR="0042333C" w:rsidRDefault="0042333C" w:rsidP="00AB1B65">
      <w:pPr>
        <w:autoSpaceDE w:val="0"/>
        <w:autoSpaceDN w:val="0"/>
        <w:adjustRightInd w:val="0"/>
        <w:rPr>
          <w:rFonts w:eastAsiaTheme="minorEastAsia"/>
          <w:lang w:val="en-US"/>
        </w:rPr>
      </w:pPr>
      <w:r>
        <w:rPr>
          <w:rFonts w:eastAsiaTheme="minorEastAsia"/>
          <w:lang w:val="en-US"/>
        </w:rPr>
        <w:t xml:space="preserve">O’Toole, Michael </w:t>
      </w:r>
      <w:r w:rsidR="005D6B66">
        <w:rPr>
          <w:rFonts w:eastAsiaTheme="minorEastAsia"/>
          <w:lang w:val="en-US"/>
        </w:rPr>
        <w:t>(</w:t>
      </w:r>
      <w:r>
        <w:rPr>
          <w:rFonts w:eastAsiaTheme="minorEastAsia"/>
          <w:lang w:val="en-US"/>
        </w:rPr>
        <w:t>2019</w:t>
      </w:r>
      <w:r w:rsidR="005D6B66">
        <w:rPr>
          <w:rFonts w:eastAsiaTheme="minorEastAsia"/>
          <w:lang w:val="en-US"/>
        </w:rPr>
        <w:t>)</w:t>
      </w:r>
      <w:r w:rsidR="003D17FF">
        <w:rPr>
          <w:rFonts w:eastAsiaTheme="minorEastAsia"/>
          <w:lang w:val="en-US"/>
        </w:rPr>
        <w:t>,</w:t>
      </w:r>
      <w:r w:rsidR="00596A4E">
        <w:rPr>
          <w:rFonts w:eastAsiaTheme="minorEastAsia"/>
          <w:lang w:val="en-US"/>
        </w:rPr>
        <w:t xml:space="preserve"> </w:t>
      </w:r>
      <w:r w:rsidR="0072449C">
        <w:rPr>
          <w:rFonts w:eastAsiaTheme="minorEastAsia"/>
          <w:lang w:val="en-US"/>
        </w:rPr>
        <w:t>‘</w:t>
      </w:r>
      <w:r>
        <w:rPr>
          <w:rFonts w:eastAsiaTheme="minorEastAsia"/>
          <w:lang w:val="en-US"/>
        </w:rPr>
        <w:t xml:space="preserve">Halliday’s </w:t>
      </w:r>
      <w:r w:rsidR="0058563F">
        <w:rPr>
          <w:rFonts w:eastAsiaTheme="minorEastAsia"/>
          <w:lang w:val="en-US"/>
        </w:rPr>
        <w:t>t</w:t>
      </w:r>
      <w:r>
        <w:rPr>
          <w:rFonts w:eastAsiaTheme="minorEastAsia"/>
          <w:lang w:val="en-US"/>
        </w:rPr>
        <w:t xml:space="preserve">hree </w:t>
      </w:r>
      <w:r w:rsidR="0058563F">
        <w:rPr>
          <w:rFonts w:eastAsiaTheme="minorEastAsia"/>
          <w:lang w:val="en-US"/>
        </w:rPr>
        <w:t>f</w:t>
      </w:r>
      <w:r>
        <w:rPr>
          <w:rFonts w:eastAsiaTheme="minorEastAsia"/>
          <w:lang w:val="en-US"/>
        </w:rPr>
        <w:t xml:space="preserve">unctions and their </w:t>
      </w:r>
      <w:r w:rsidR="0058563F">
        <w:rPr>
          <w:rFonts w:eastAsiaTheme="minorEastAsia"/>
          <w:lang w:val="en-US"/>
        </w:rPr>
        <w:t>i</w:t>
      </w:r>
      <w:r>
        <w:rPr>
          <w:rFonts w:eastAsiaTheme="minorEastAsia"/>
          <w:lang w:val="en-US"/>
        </w:rPr>
        <w:t xml:space="preserve">nteraction in the </w:t>
      </w:r>
      <w:r w:rsidR="0058563F">
        <w:rPr>
          <w:rFonts w:eastAsiaTheme="minorEastAsia"/>
          <w:lang w:val="en-US"/>
        </w:rPr>
        <w:t>i</w:t>
      </w:r>
      <w:r>
        <w:rPr>
          <w:rFonts w:eastAsiaTheme="minorEastAsia"/>
          <w:lang w:val="en-US"/>
        </w:rPr>
        <w:t xml:space="preserve">nterpretation of </w:t>
      </w:r>
      <w:r w:rsidR="0058563F">
        <w:rPr>
          <w:rFonts w:eastAsiaTheme="minorEastAsia"/>
          <w:lang w:val="en-US"/>
        </w:rPr>
        <w:t>p</w:t>
      </w:r>
      <w:r>
        <w:rPr>
          <w:rFonts w:eastAsiaTheme="minorEastAsia"/>
          <w:lang w:val="en-US"/>
        </w:rPr>
        <w:t xml:space="preserve">ainting and </w:t>
      </w:r>
      <w:r w:rsidR="0058563F">
        <w:rPr>
          <w:rFonts w:eastAsiaTheme="minorEastAsia"/>
          <w:lang w:val="en-US"/>
        </w:rPr>
        <w:t>m</w:t>
      </w:r>
      <w:r>
        <w:rPr>
          <w:rFonts w:eastAsiaTheme="minorEastAsia"/>
          <w:lang w:val="en-US"/>
        </w:rPr>
        <w:t>usic</w:t>
      </w:r>
      <w:r w:rsidR="00596A4E">
        <w:rPr>
          <w:rFonts w:eastAsiaTheme="minorEastAsia"/>
          <w:lang w:val="en-US"/>
        </w:rPr>
        <w:t>.</w:t>
      </w:r>
      <w:r w:rsidR="0072449C">
        <w:rPr>
          <w:rFonts w:eastAsiaTheme="minorEastAsia"/>
          <w:lang w:val="en-US"/>
        </w:rPr>
        <w:t>’</w:t>
      </w:r>
      <w:r>
        <w:rPr>
          <w:rFonts w:eastAsiaTheme="minorEastAsia"/>
          <w:lang w:val="en-US"/>
        </w:rPr>
        <w:t xml:space="preserve"> In Webster, J.J. (ed.) </w:t>
      </w:r>
      <w:r>
        <w:rPr>
          <w:rFonts w:eastAsiaTheme="minorEastAsia"/>
          <w:i/>
          <w:lang w:val="en-US"/>
        </w:rPr>
        <w:t>The Bloomsbury Companion to M.A.K. Halliday</w:t>
      </w:r>
      <w:r w:rsidR="00AB1B65">
        <w:rPr>
          <w:rFonts w:eastAsiaTheme="minorEastAsia"/>
          <w:i/>
          <w:lang w:val="en-US"/>
        </w:rPr>
        <w:t xml:space="preserve">. </w:t>
      </w:r>
      <w:r w:rsidR="00AB1B65">
        <w:rPr>
          <w:rFonts w:eastAsiaTheme="minorEastAsia"/>
          <w:lang w:val="en-US"/>
        </w:rPr>
        <w:t>London: Bloomsbury. pp396-385.</w:t>
      </w:r>
    </w:p>
    <w:p w14:paraId="2CE0E59B" w14:textId="4AD52B26" w:rsidR="00035F54" w:rsidRDefault="00035F54" w:rsidP="00AB1B65">
      <w:pPr>
        <w:autoSpaceDE w:val="0"/>
        <w:autoSpaceDN w:val="0"/>
        <w:adjustRightInd w:val="0"/>
        <w:rPr>
          <w:rFonts w:eastAsiaTheme="minorEastAsia"/>
          <w:lang w:val="en-US"/>
        </w:rPr>
      </w:pPr>
    </w:p>
    <w:p w14:paraId="6EE5215A" w14:textId="0A7D453D" w:rsidR="00035F54" w:rsidRDefault="00035F54" w:rsidP="00AB1B65">
      <w:pPr>
        <w:autoSpaceDE w:val="0"/>
        <w:autoSpaceDN w:val="0"/>
        <w:adjustRightInd w:val="0"/>
        <w:rPr>
          <w:rFonts w:eastAsiaTheme="minorEastAsia"/>
          <w:lang w:val="en-US"/>
        </w:rPr>
      </w:pPr>
      <w:r>
        <w:rPr>
          <w:rFonts w:eastAsiaTheme="minorEastAsia"/>
          <w:lang w:val="en-US"/>
        </w:rPr>
        <w:t>Owen, Chris</w:t>
      </w:r>
      <w:r w:rsidR="00E63BF9">
        <w:rPr>
          <w:rFonts w:eastAsiaTheme="minorEastAsia"/>
          <w:lang w:val="en-US"/>
        </w:rPr>
        <w:t xml:space="preserve"> </w:t>
      </w:r>
      <w:r w:rsidR="005D6B66">
        <w:rPr>
          <w:rFonts w:eastAsiaTheme="minorEastAsia"/>
          <w:lang w:val="en-US"/>
        </w:rPr>
        <w:t>(</w:t>
      </w:r>
      <w:r w:rsidR="00E63BF9">
        <w:rPr>
          <w:rFonts w:eastAsiaTheme="minorEastAsia"/>
          <w:lang w:val="en-US"/>
        </w:rPr>
        <w:t>2019</w:t>
      </w:r>
      <w:r w:rsidR="005D6B66">
        <w:rPr>
          <w:rFonts w:eastAsiaTheme="minorEastAsia"/>
          <w:lang w:val="en-US"/>
        </w:rPr>
        <w:t>)</w:t>
      </w:r>
      <w:r w:rsidR="003D17FF">
        <w:rPr>
          <w:rFonts w:eastAsiaTheme="minorEastAsia"/>
          <w:lang w:val="en-US"/>
        </w:rPr>
        <w:t>,</w:t>
      </w:r>
      <w:r w:rsidR="00836F0F">
        <w:rPr>
          <w:rFonts w:eastAsiaTheme="minorEastAsia"/>
          <w:lang w:val="en-US"/>
        </w:rPr>
        <w:t xml:space="preserve"> </w:t>
      </w:r>
      <w:r w:rsidR="0072449C">
        <w:rPr>
          <w:rFonts w:eastAsiaTheme="minorEastAsia"/>
          <w:lang w:val="en-US"/>
        </w:rPr>
        <w:t>‘</w:t>
      </w:r>
      <w:r w:rsidR="00836F0F">
        <w:rPr>
          <w:rFonts w:eastAsiaTheme="minorEastAsia"/>
          <w:lang w:val="en-US"/>
        </w:rPr>
        <w:t xml:space="preserve">Through a </w:t>
      </w:r>
      <w:r w:rsidR="0058563F">
        <w:rPr>
          <w:rFonts w:eastAsiaTheme="minorEastAsia"/>
          <w:lang w:val="en-US"/>
        </w:rPr>
        <w:t>g</w:t>
      </w:r>
      <w:r w:rsidR="00836F0F">
        <w:rPr>
          <w:rFonts w:eastAsiaTheme="minorEastAsia"/>
          <w:lang w:val="en-US"/>
        </w:rPr>
        <w:t xml:space="preserve">lass </w:t>
      </w:r>
      <w:r w:rsidR="0058563F">
        <w:rPr>
          <w:rFonts w:eastAsiaTheme="minorEastAsia"/>
          <w:lang w:val="en-US"/>
        </w:rPr>
        <w:t>d</w:t>
      </w:r>
      <w:r w:rsidR="00836F0F">
        <w:rPr>
          <w:rFonts w:eastAsiaTheme="minorEastAsia"/>
          <w:lang w:val="en-US"/>
        </w:rPr>
        <w:t>arkly</w:t>
      </w:r>
      <w:r w:rsidR="00E63BF9">
        <w:rPr>
          <w:rFonts w:eastAsiaTheme="minorEastAsia"/>
          <w:lang w:val="en-US"/>
        </w:rPr>
        <w:t xml:space="preserve">: the </w:t>
      </w:r>
      <w:r w:rsidR="0058563F">
        <w:rPr>
          <w:rFonts w:eastAsiaTheme="minorEastAsia"/>
          <w:lang w:val="en-US"/>
        </w:rPr>
        <w:t>t</w:t>
      </w:r>
      <w:r w:rsidR="00E63BF9">
        <w:rPr>
          <w:rFonts w:eastAsiaTheme="minorEastAsia"/>
          <w:lang w:val="en-US"/>
        </w:rPr>
        <w:t xml:space="preserve">eaching and </w:t>
      </w:r>
      <w:r w:rsidR="0058563F">
        <w:rPr>
          <w:rFonts w:eastAsiaTheme="minorEastAsia"/>
          <w:lang w:val="en-US"/>
        </w:rPr>
        <w:t>a</w:t>
      </w:r>
      <w:r w:rsidR="00E63BF9">
        <w:rPr>
          <w:rFonts w:eastAsiaTheme="minorEastAsia"/>
          <w:lang w:val="en-US"/>
        </w:rPr>
        <w:t xml:space="preserve">ssessment of </w:t>
      </w:r>
      <w:r w:rsidR="0058563F">
        <w:rPr>
          <w:rFonts w:eastAsiaTheme="minorEastAsia"/>
          <w:lang w:val="en-US"/>
        </w:rPr>
        <w:t>d</w:t>
      </w:r>
      <w:r w:rsidR="00E63BF9">
        <w:rPr>
          <w:rFonts w:eastAsiaTheme="minorEastAsia"/>
          <w:lang w:val="en-US"/>
        </w:rPr>
        <w:t xml:space="preserve">rawing </w:t>
      </w:r>
      <w:r w:rsidR="0058563F">
        <w:rPr>
          <w:rFonts w:eastAsiaTheme="minorEastAsia"/>
          <w:lang w:val="en-US"/>
        </w:rPr>
        <w:t>s</w:t>
      </w:r>
      <w:r w:rsidR="00E63BF9">
        <w:rPr>
          <w:rFonts w:eastAsiaTheme="minorEastAsia"/>
          <w:lang w:val="en-US"/>
        </w:rPr>
        <w:t xml:space="preserve">kills in the UK </w:t>
      </w:r>
      <w:r w:rsidR="0058563F">
        <w:rPr>
          <w:rFonts w:eastAsiaTheme="minorEastAsia"/>
          <w:lang w:val="en-US"/>
        </w:rPr>
        <w:t>p</w:t>
      </w:r>
      <w:r w:rsidR="00E63BF9">
        <w:rPr>
          <w:rFonts w:eastAsiaTheme="minorEastAsia"/>
          <w:lang w:val="en-US"/>
        </w:rPr>
        <w:t xml:space="preserve">ost-16 </w:t>
      </w:r>
      <w:r w:rsidR="0058563F">
        <w:rPr>
          <w:rFonts w:eastAsiaTheme="minorEastAsia"/>
          <w:lang w:val="en-US"/>
        </w:rPr>
        <w:t>a</w:t>
      </w:r>
      <w:r w:rsidR="00E63BF9">
        <w:rPr>
          <w:rFonts w:eastAsiaTheme="minorEastAsia"/>
          <w:lang w:val="en-US"/>
        </w:rPr>
        <w:t xml:space="preserve">rt &amp; </w:t>
      </w:r>
      <w:r w:rsidR="0058563F">
        <w:rPr>
          <w:rFonts w:eastAsiaTheme="minorEastAsia"/>
          <w:lang w:val="en-US"/>
        </w:rPr>
        <w:t>d</w:t>
      </w:r>
      <w:r w:rsidR="00E63BF9">
        <w:rPr>
          <w:rFonts w:eastAsiaTheme="minorEastAsia"/>
          <w:lang w:val="en-US"/>
        </w:rPr>
        <w:t xml:space="preserve">esign </w:t>
      </w:r>
      <w:r w:rsidR="0058563F">
        <w:rPr>
          <w:rFonts w:eastAsiaTheme="minorEastAsia"/>
          <w:lang w:val="en-US"/>
        </w:rPr>
        <w:t>c</w:t>
      </w:r>
      <w:r w:rsidR="00E63BF9">
        <w:rPr>
          <w:rFonts w:eastAsiaTheme="minorEastAsia"/>
          <w:lang w:val="en-US"/>
        </w:rPr>
        <w:t>urriculum.</w:t>
      </w:r>
      <w:r w:rsidR="0072449C">
        <w:rPr>
          <w:rFonts w:eastAsiaTheme="minorEastAsia"/>
          <w:lang w:val="en-US"/>
        </w:rPr>
        <w:t>’</w:t>
      </w:r>
      <w:r w:rsidR="00E63BF9">
        <w:rPr>
          <w:rFonts w:eastAsiaTheme="minorEastAsia"/>
          <w:lang w:val="en-US"/>
        </w:rPr>
        <w:t xml:space="preserve"> </w:t>
      </w:r>
      <w:r w:rsidR="00E63BF9">
        <w:rPr>
          <w:rFonts w:eastAsiaTheme="minorEastAsia"/>
          <w:i/>
          <w:lang w:val="en-US"/>
        </w:rPr>
        <w:t xml:space="preserve">The International Journal of Art &amp; Design Education </w:t>
      </w:r>
      <w:r w:rsidR="00E63BF9">
        <w:rPr>
          <w:rFonts w:eastAsiaTheme="minorEastAsia"/>
          <w:lang w:val="en-US"/>
        </w:rPr>
        <w:t>(In press)</w:t>
      </w:r>
    </w:p>
    <w:p w14:paraId="08638676" w14:textId="6D2A0E51" w:rsidR="00B525EC" w:rsidRDefault="00B525EC" w:rsidP="00AB1B65">
      <w:pPr>
        <w:autoSpaceDE w:val="0"/>
        <w:autoSpaceDN w:val="0"/>
        <w:adjustRightInd w:val="0"/>
        <w:rPr>
          <w:rFonts w:eastAsiaTheme="minorEastAsia"/>
          <w:lang w:val="en-US"/>
        </w:rPr>
      </w:pPr>
    </w:p>
    <w:p w14:paraId="6283EC91" w14:textId="22153899" w:rsidR="00E314E5" w:rsidRDefault="00E314E5" w:rsidP="00365F2D">
      <w:pPr>
        <w:pStyle w:val="BodyText"/>
        <w:spacing w:line="240" w:lineRule="auto"/>
      </w:pPr>
      <w:proofErr w:type="spellStart"/>
      <w:r>
        <w:lastRenderedPageBreak/>
        <w:t>P</w:t>
      </w:r>
      <w:r w:rsidR="0021282D">
        <w:t>etherbridge</w:t>
      </w:r>
      <w:proofErr w:type="spellEnd"/>
      <w:r>
        <w:t>, D</w:t>
      </w:r>
      <w:r w:rsidR="0021282D">
        <w:t>eanna</w:t>
      </w:r>
      <w:r>
        <w:t xml:space="preserve"> </w:t>
      </w:r>
      <w:r w:rsidR="005D6B66">
        <w:t>(</w:t>
      </w:r>
      <w:r>
        <w:t>2010</w:t>
      </w:r>
      <w:r w:rsidR="005D6B66">
        <w:t>)</w:t>
      </w:r>
      <w:r w:rsidR="003D17FF">
        <w:t>,</w:t>
      </w:r>
      <w:r>
        <w:t xml:space="preserve"> </w:t>
      </w:r>
      <w:r>
        <w:rPr>
          <w:i/>
        </w:rPr>
        <w:t>The Primacy of Drawing. Histories and Theories of Practice</w:t>
      </w:r>
      <w:r w:rsidR="0021282D">
        <w:rPr>
          <w:i/>
        </w:rPr>
        <w:t>,</w:t>
      </w:r>
      <w:r>
        <w:rPr>
          <w:i/>
        </w:rPr>
        <w:t xml:space="preserve"> </w:t>
      </w:r>
      <w:r>
        <w:t>New Haven and London: Yale University Press.</w:t>
      </w:r>
    </w:p>
    <w:p w14:paraId="50735A61" w14:textId="745F1ED1" w:rsidR="00DC4F5C" w:rsidRDefault="00DC4F5C" w:rsidP="00365F2D">
      <w:pPr>
        <w:pStyle w:val="BodyText"/>
        <w:spacing w:line="240" w:lineRule="auto"/>
      </w:pPr>
    </w:p>
    <w:p w14:paraId="002E2121" w14:textId="43AA7E87" w:rsidR="00DC4F5C" w:rsidRPr="00DC4F5C" w:rsidRDefault="00DC4F5C" w:rsidP="00365F2D">
      <w:pPr>
        <w:pStyle w:val="BodyText"/>
        <w:spacing w:line="240" w:lineRule="auto"/>
      </w:pPr>
      <w:proofErr w:type="spellStart"/>
      <w:r>
        <w:t>Petherbridge</w:t>
      </w:r>
      <w:proofErr w:type="spellEnd"/>
      <w:r>
        <w:t xml:space="preserve">, Deanna </w:t>
      </w:r>
      <w:r w:rsidR="005D6B66">
        <w:t>(</w:t>
      </w:r>
      <w:r>
        <w:t>2019</w:t>
      </w:r>
      <w:r w:rsidR="005D6B66">
        <w:t>)</w:t>
      </w:r>
      <w:r w:rsidR="003D17FF">
        <w:t>,</w:t>
      </w:r>
      <w:r w:rsidR="00596A4E">
        <w:t xml:space="preserve"> </w:t>
      </w:r>
      <w:r w:rsidR="0072449C">
        <w:t>‘</w:t>
      </w:r>
      <w:r>
        <w:t xml:space="preserve">The </w:t>
      </w:r>
      <w:r w:rsidR="0058563F">
        <w:t>d</w:t>
      </w:r>
      <w:r>
        <w:t xml:space="preserve">rawing </w:t>
      </w:r>
      <w:r w:rsidR="0058563F">
        <w:t>e</w:t>
      </w:r>
      <w:r>
        <w:t>xperiment at the Royal College of Art 1995-2001</w:t>
      </w:r>
      <w:r w:rsidR="00596A4E">
        <w:t>.</w:t>
      </w:r>
      <w:r w:rsidR="0072449C">
        <w:t>’</w:t>
      </w:r>
      <w:r>
        <w:t xml:space="preserve"> In Hickman, R. (ed.) </w:t>
      </w:r>
      <w:r>
        <w:rPr>
          <w:i/>
        </w:rPr>
        <w:t xml:space="preserve">The International </w:t>
      </w:r>
      <w:proofErr w:type="spellStart"/>
      <w:r>
        <w:rPr>
          <w:i/>
        </w:rPr>
        <w:t>Encyclopedia</w:t>
      </w:r>
      <w:proofErr w:type="spellEnd"/>
      <w:r>
        <w:rPr>
          <w:i/>
        </w:rPr>
        <w:t xml:space="preserve"> of Art and Design Educatio</w:t>
      </w:r>
      <w:r w:rsidR="00596A4E">
        <w:rPr>
          <w:i/>
        </w:rPr>
        <w:t>n.</w:t>
      </w:r>
      <w:r>
        <w:rPr>
          <w:i/>
        </w:rPr>
        <w:t xml:space="preserve"> </w:t>
      </w:r>
      <w:r>
        <w:t>London: John Wiley &amp; Sons.</w:t>
      </w:r>
    </w:p>
    <w:p w14:paraId="2EF36473" w14:textId="77777777" w:rsidR="00365F2D" w:rsidRPr="009F4643" w:rsidRDefault="00365F2D" w:rsidP="00365F2D">
      <w:pPr>
        <w:pStyle w:val="BodyText"/>
        <w:spacing w:line="240" w:lineRule="auto"/>
      </w:pPr>
    </w:p>
    <w:p w14:paraId="6991C721" w14:textId="78618FA4" w:rsidR="003F3BA9" w:rsidRDefault="003F3BA9" w:rsidP="00A56A4E">
      <w:pPr>
        <w:pStyle w:val="BodyText"/>
        <w:spacing w:line="240" w:lineRule="auto"/>
        <w:rPr>
          <w:rStyle w:val="Hyperlink"/>
        </w:rPr>
      </w:pPr>
      <w:r>
        <w:t xml:space="preserve">Riley, Howard </w:t>
      </w:r>
      <w:r w:rsidR="005D6B66">
        <w:t>(</w:t>
      </w:r>
      <w:r>
        <w:t>2001</w:t>
      </w:r>
      <w:r w:rsidR="005D6B66">
        <w:t>)</w:t>
      </w:r>
      <w:r w:rsidR="003D17FF">
        <w:t>,</w:t>
      </w:r>
      <w:r>
        <w:t xml:space="preserve"> </w:t>
      </w:r>
      <w:r>
        <w:rPr>
          <w:i/>
        </w:rPr>
        <w:t xml:space="preserve">The Intelligence of Seeing. </w:t>
      </w:r>
      <w:r w:rsidR="00481E65">
        <w:rPr>
          <w:i/>
        </w:rPr>
        <w:t xml:space="preserve">An Inquiry into the Relationships between Perception Theory, Communication Theory and the Practice and Teaching of Drawing. </w:t>
      </w:r>
      <w:r w:rsidR="00481E65">
        <w:t xml:space="preserve">PhD Thesis, University of Wales. </w:t>
      </w:r>
      <w:r w:rsidR="00A56A4E">
        <w:t>At</w:t>
      </w:r>
      <w:r w:rsidR="00481E65">
        <w:t>:</w:t>
      </w:r>
      <w:r w:rsidR="00A56A4E">
        <w:t xml:space="preserve"> </w:t>
      </w:r>
      <w:hyperlink r:id="rId15" w:history="1">
        <w:r w:rsidR="00596A4E" w:rsidRPr="005F7EAE">
          <w:rPr>
            <w:rStyle w:val="Hyperlink"/>
          </w:rPr>
          <w:t>https://www.researchgate.net/profile/Howard_Riley</w:t>
        </w:r>
      </w:hyperlink>
    </w:p>
    <w:p w14:paraId="0C6B6B12" w14:textId="0FF74C70" w:rsidR="006835E2" w:rsidRDefault="006835E2" w:rsidP="00A56A4E">
      <w:pPr>
        <w:pStyle w:val="BodyText"/>
        <w:spacing w:line="240" w:lineRule="auto"/>
      </w:pPr>
    </w:p>
    <w:p w14:paraId="1D3C0F53" w14:textId="1E6E1D6A" w:rsidR="006835E2" w:rsidRPr="006835E2" w:rsidRDefault="006835E2" w:rsidP="00A56A4E">
      <w:pPr>
        <w:pStyle w:val="BodyText"/>
        <w:spacing w:line="240" w:lineRule="auto"/>
      </w:pPr>
      <w:r>
        <w:t xml:space="preserve">Riley, Howard </w:t>
      </w:r>
      <w:r w:rsidR="005D6B66">
        <w:t>(</w:t>
      </w:r>
      <w:r>
        <w:t>2002</w:t>
      </w:r>
      <w:r w:rsidR="005D6B66">
        <w:t>)</w:t>
      </w:r>
      <w:r w:rsidR="003D17FF">
        <w:t>,</w:t>
      </w:r>
      <w:r>
        <w:t xml:space="preserve"> </w:t>
      </w:r>
      <w:r w:rsidR="0072449C">
        <w:t>‘</w:t>
      </w:r>
      <w:r>
        <w:t>Firing practice: drawing as empowerment.</w:t>
      </w:r>
      <w:r w:rsidR="0072449C">
        <w:t>’</w:t>
      </w:r>
      <w:r>
        <w:t xml:space="preserve"> </w:t>
      </w:r>
      <w:r>
        <w:rPr>
          <w:i/>
        </w:rPr>
        <w:t xml:space="preserve">Journal of Visual Art Practice </w:t>
      </w:r>
      <w:r>
        <w:t>1:3 pp150-161.</w:t>
      </w:r>
    </w:p>
    <w:p w14:paraId="4CC7FDC6" w14:textId="77777777" w:rsidR="00596A4E" w:rsidRPr="00481E65" w:rsidRDefault="00596A4E" w:rsidP="00A56A4E">
      <w:pPr>
        <w:pStyle w:val="BodyText"/>
        <w:spacing w:line="240" w:lineRule="auto"/>
      </w:pPr>
    </w:p>
    <w:p w14:paraId="34EA01BB" w14:textId="53147E9B" w:rsidR="004E6CAE" w:rsidRDefault="004E6CAE" w:rsidP="00DB06FD">
      <w:pPr>
        <w:autoSpaceDE w:val="0"/>
        <w:autoSpaceDN w:val="0"/>
        <w:adjustRightInd w:val="0"/>
        <w:rPr>
          <w:rFonts w:eastAsiaTheme="minorEastAsia"/>
          <w:lang w:val="en-US"/>
        </w:rPr>
      </w:pPr>
      <w:r>
        <w:rPr>
          <w:rFonts w:eastAsiaTheme="minorEastAsia"/>
          <w:lang w:val="en-US"/>
        </w:rPr>
        <w:t>Riley</w:t>
      </w:r>
      <w:r w:rsidR="00DB06FD">
        <w:rPr>
          <w:rFonts w:eastAsiaTheme="minorEastAsia"/>
          <w:lang w:val="en-US"/>
        </w:rPr>
        <w:t xml:space="preserve">, </w:t>
      </w:r>
      <w:r w:rsidR="0028255B">
        <w:rPr>
          <w:rFonts w:eastAsiaTheme="minorEastAsia"/>
          <w:lang w:val="en-US"/>
        </w:rPr>
        <w:t xml:space="preserve">Howard </w:t>
      </w:r>
      <w:r w:rsidR="005D6B66">
        <w:rPr>
          <w:rFonts w:eastAsiaTheme="minorEastAsia"/>
          <w:lang w:val="en-US"/>
        </w:rPr>
        <w:t>(</w:t>
      </w:r>
      <w:r>
        <w:rPr>
          <w:rFonts w:eastAsiaTheme="minorEastAsia"/>
          <w:lang w:val="en-US"/>
        </w:rPr>
        <w:t>2008</w:t>
      </w:r>
      <w:r w:rsidR="005D6B66">
        <w:rPr>
          <w:rFonts w:eastAsiaTheme="minorEastAsia"/>
          <w:lang w:val="en-US"/>
        </w:rPr>
        <w:t>)</w:t>
      </w:r>
      <w:r w:rsidR="003D17FF">
        <w:rPr>
          <w:rFonts w:eastAsiaTheme="minorEastAsia"/>
          <w:lang w:val="en-US"/>
        </w:rPr>
        <w:t>,</w:t>
      </w:r>
      <w:r w:rsidR="00596A4E">
        <w:rPr>
          <w:rFonts w:eastAsiaTheme="minorEastAsia"/>
          <w:lang w:val="en-US"/>
        </w:rPr>
        <w:t xml:space="preserve"> </w:t>
      </w:r>
      <w:r w:rsidR="001868ED">
        <w:rPr>
          <w:rFonts w:eastAsiaTheme="minorEastAsia"/>
          <w:lang w:val="en-US"/>
        </w:rPr>
        <w:t>‘</w:t>
      </w:r>
      <w:r w:rsidR="00DB06FD">
        <w:rPr>
          <w:rFonts w:eastAsiaTheme="minorEastAsia"/>
          <w:lang w:val="en-US"/>
        </w:rPr>
        <w:t xml:space="preserve">Drawing: </w:t>
      </w:r>
      <w:r w:rsidR="0058563F">
        <w:rPr>
          <w:rFonts w:eastAsiaTheme="minorEastAsia"/>
          <w:lang w:val="en-US"/>
        </w:rPr>
        <w:t>t</w:t>
      </w:r>
      <w:r w:rsidR="00DB06FD">
        <w:rPr>
          <w:rFonts w:eastAsiaTheme="minorEastAsia"/>
          <w:lang w:val="en-US"/>
        </w:rPr>
        <w:t xml:space="preserve">owards an </w:t>
      </w:r>
      <w:r w:rsidR="0058563F">
        <w:rPr>
          <w:rFonts w:eastAsiaTheme="minorEastAsia"/>
          <w:lang w:val="en-US"/>
        </w:rPr>
        <w:t>i</w:t>
      </w:r>
      <w:r w:rsidR="00DB06FD">
        <w:rPr>
          <w:rFonts w:eastAsiaTheme="minorEastAsia"/>
          <w:lang w:val="en-US"/>
        </w:rPr>
        <w:t xml:space="preserve">ntelligence of </w:t>
      </w:r>
      <w:r w:rsidR="0058563F">
        <w:rPr>
          <w:rFonts w:eastAsiaTheme="minorEastAsia"/>
          <w:lang w:val="en-US"/>
        </w:rPr>
        <w:t>s</w:t>
      </w:r>
      <w:r w:rsidR="00DB06FD">
        <w:rPr>
          <w:rFonts w:eastAsiaTheme="minorEastAsia"/>
          <w:lang w:val="en-US"/>
        </w:rPr>
        <w:t>eeing</w:t>
      </w:r>
      <w:r w:rsidR="00596A4E">
        <w:rPr>
          <w:rFonts w:eastAsiaTheme="minorEastAsia"/>
          <w:lang w:val="en-US"/>
        </w:rPr>
        <w:t>.</w:t>
      </w:r>
      <w:r w:rsidR="0072449C">
        <w:rPr>
          <w:rFonts w:eastAsiaTheme="minorEastAsia"/>
          <w:lang w:val="en-US"/>
        </w:rPr>
        <w:t>’</w:t>
      </w:r>
      <w:r w:rsidR="00DB06FD">
        <w:rPr>
          <w:rFonts w:eastAsiaTheme="minorEastAsia"/>
          <w:lang w:val="en-US"/>
        </w:rPr>
        <w:t xml:space="preserve"> In Garner, S. </w:t>
      </w:r>
      <w:r w:rsidR="00DB06FD">
        <w:rPr>
          <w:rFonts w:eastAsiaTheme="minorEastAsia"/>
          <w:i/>
          <w:lang w:val="en-US"/>
        </w:rPr>
        <w:t>Writing On Drawing. Essays on Drawing Practice and Research</w:t>
      </w:r>
      <w:r w:rsidR="00596A4E">
        <w:rPr>
          <w:rFonts w:eastAsiaTheme="minorEastAsia"/>
          <w:i/>
          <w:lang w:val="en-US"/>
        </w:rPr>
        <w:t>.</w:t>
      </w:r>
      <w:r w:rsidR="00DB06FD">
        <w:rPr>
          <w:rFonts w:eastAsiaTheme="minorEastAsia"/>
          <w:i/>
          <w:lang w:val="en-US"/>
        </w:rPr>
        <w:t xml:space="preserve"> </w:t>
      </w:r>
      <w:r w:rsidR="00DB06FD">
        <w:rPr>
          <w:rFonts w:eastAsiaTheme="minorEastAsia"/>
          <w:lang w:val="en-US"/>
        </w:rPr>
        <w:t>Bristol/Chicago: Intellect</w:t>
      </w:r>
      <w:r w:rsidR="00052142">
        <w:rPr>
          <w:rFonts w:eastAsiaTheme="minorEastAsia"/>
          <w:lang w:val="en-US"/>
        </w:rPr>
        <w:t xml:space="preserve"> </w:t>
      </w:r>
      <w:r w:rsidR="00DB06FD">
        <w:rPr>
          <w:rFonts w:eastAsiaTheme="minorEastAsia"/>
          <w:lang w:val="en-US"/>
        </w:rPr>
        <w:t>Books</w:t>
      </w:r>
      <w:r w:rsidR="00A326E1">
        <w:rPr>
          <w:rFonts w:eastAsiaTheme="minorEastAsia"/>
          <w:lang w:val="en-US"/>
        </w:rPr>
        <w:t>.</w:t>
      </w:r>
      <w:r w:rsidR="00DB06FD">
        <w:rPr>
          <w:rFonts w:eastAsiaTheme="minorEastAsia"/>
          <w:lang w:val="en-US"/>
        </w:rPr>
        <w:t xml:space="preserve"> pp153-167.</w:t>
      </w:r>
    </w:p>
    <w:p w14:paraId="202AB84A" w14:textId="77777777" w:rsidR="00DB06FD" w:rsidRPr="00DB06FD" w:rsidRDefault="00DB06FD" w:rsidP="00052142">
      <w:pPr>
        <w:autoSpaceDE w:val="0"/>
        <w:autoSpaceDN w:val="0"/>
        <w:adjustRightInd w:val="0"/>
        <w:rPr>
          <w:rFonts w:eastAsiaTheme="minorEastAsia"/>
          <w:lang w:val="en-US"/>
        </w:rPr>
      </w:pPr>
    </w:p>
    <w:p w14:paraId="44CB01BC" w14:textId="3442DD67" w:rsidR="004B3F03" w:rsidRDefault="00273B92" w:rsidP="004B3F03">
      <w:pPr>
        <w:pStyle w:val="BodyText"/>
        <w:spacing w:line="240" w:lineRule="auto"/>
      </w:pPr>
      <w:r w:rsidRPr="00273B92">
        <w:rPr>
          <w:color w:val="000000" w:themeColor="text1"/>
        </w:rPr>
        <w:t>Riley</w:t>
      </w:r>
      <w:r w:rsidR="004B3F03" w:rsidRPr="00273B92">
        <w:rPr>
          <w:color w:val="000000" w:themeColor="text1"/>
        </w:rPr>
        <w:t xml:space="preserve">, </w:t>
      </w:r>
      <w:r w:rsidR="004B3F03">
        <w:t>H</w:t>
      </w:r>
      <w:r w:rsidR="0021282D">
        <w:t>oward</w:t>
      </w:r>
      <w:r w:rsidR="004B3F03">
        <w:t xml:space="preserve"> </w:t>
      </w:r>
      <w:r w:rsidR="005D6B66">
        <w:t>(</w:t>
      </w:r>
      <w:r w:rsidR="004B3F03">
        <w:t>2013</w:t>
      </w:r>
      <w:r w:rsidR="005D6B66">
        <w:t>)</w:t>
      </w:r>
      <w:r w:rsidR="003D17FF">
        <w:t>,</w:t>
      </w:r>
      <w:r w:rsidR="00596A4E">
        <w:t xml:space="preserve"> </w:t>
      </w:r>
      <w:r w:rsidR="0072449C">
        <w:t>‘</w:t>
      </w:r>
      <w:r w:rsidR="004B3F03">
        <w:t xml:space="preserve">Visual </w:t>
      </w:r>
      <w:r w:rsidR="0058563F">
        <w:t>a</w:t>
      </w:r>
      <w:r w:rsidR="004B3F03">
        <w:t xml:space="preserve">rt and </w:t>
      </w:r>
      <w:r w:rsidR="0058563F">
        <w:t>s</w:t>
      </w:r>
      <w:r w:rsidR="004B3F03">
        <w:t xml:space="preserve">ocial </w:t>
      </w:r>
      <w:r w:rsidR="0058563F">
        <w:t>s</w:t>
      </w:r>
      <w:r w:rsidR="004B3F03">
        <w:t xml:space="preserve">tructure: </w:t>
      </w:r>
      <w:r w:rsidR="0058563F">
        <w:t>t</w:t>
      </w:r>
      <w:r w:rsidR="0028255B">
        <w:t>he</w:t>
      </w:r>
      <w:r w:rsidR="004B3F03">
        <w:t xml:space="preserve"> </w:t>
      </w:r>
      <w:r w:rsidR="0058563F">
        <w:t>s</w:t>
      </w:r>
      <w:r w:rsidR="004B3F03">
        <w:t xml:space="preserve">ocial </w:t>
      </w:r>
      <w:r w:rsidR="0058563F">
        <w:t>s</w:t>
      </w:r>
      <w:r w:rsidR="004B3F03">
        <w:t xml:space="preserve">emiotics of </w:t>
      </w:r>
      <w:r w:rsidR="00251D21">
        <w:t>r</w:t>
      </w:r>
      <w:r w:rsidR="004B3F03">
        <w:t xml:space="preserve">elational </w:t>
      </w:r>
      <w:r w:rsidR="0058563F">
        <w:t>a</w:t>
      </w:r>
      <w:r w:rsidR="004B3F03">
        <w:t>rt</w:t>
      </w:r>
      <w:r w:rsidR="00596A4E">
        <w:t>.</w:t>
      </w:r>
      <w:r w:rsidR="0072449C">
        <w:t>’</w:t>
      </w:r>
      <w:r w:rsidR="004B3F03">
        <w:t xml:space="preserve"> </w:t>
      </w:r>
      <w:r w:rsidR="004B3F03">
        <w:rPr>
          <w:i/>
        </w:rPr>
        <w:t xml:space="preserve">Visual Communication </w:t>
      </w:r>
      <w:r w:rsidR="004B3F03" w:rsidRPr="004B3F03">
        <w:t>12</w:t>
      </w:r>
      <w:r w:rsidR="00B973E5">
        <w:t>:</w:t>
      </w:r>
      <w:r w:rsidR="004B3F03" w:rsidRPr="004B3F03">
        <w:t xml:space="preserve">2 </w:t>
      </w:r>
      <w:r w:rsidR="00B973E5">
        <w:t>pp</w:t>
      </w:r>
      <w:r w:rsidR="004B3F03" w:rsidRPr="004B3F03">
        <w:t>207-216.</w:t>
      </w:r>
    </w:p>
    <w:p w14:paraId="2F2C3BE6" w14:textId="4F02A7F7" w:rsidR="007A3D3E" w:rsidRDefault="007A3D3E" w:rsidP="004B3F03">
      <w:pPr>
        <w:pStyle w:val="BodyText"/>
        <w:spacing w:line="240" w:lineRule="auto"/>
      </w:pPr>
    </w:p>
    <w:p w14:paraId="4020AAA5" w14:textId="6D5519C3" w:rsidR="00A326E1" w:rsidRDefault="007A3D3E" w:rsidP="00A326E1">
      <w:r>
        <w:t xml:space="preserve">Riley, Howard </w:t>
      </w:r>
      <w:r w:rsidR="005D6B66">
        <w:t>(</w:t>
      </w:r>
      <w:r>
        <w:t>2018</w:t>
      </w:r>
      <w:r w:rsidR="005D6B66">
        <w:t>)</w:t>
      </w:r>
      <w:r w:rsidR="003D17FF">
        <w:t>,</w:t>
      </w:r>
      <w:r>
        <w:t xml:space="preserve"> </w:t>
      </w:r>
      <w:r w:rsidR="0072449C">
        <w:t>‘</w:t>
      </w:r>
      <w:r>
        <w:t xml:space="preserve">Bridging the </w:t>
      </w:r>
      <w:r w:rsidR="00BA5010">
        <w:t>g</w:t>
      </w:r>
      <w:r>
        <w:t xml:space="preserve">ap: </w:t>
      </w:r>
      <w:r w:rsidR="00BA5010">
        <w:t>c</w:t>
      </w:r>
      <w:r>
        <w:t xml:space="preserve">onnecting </w:t>
      </w:r>
      <w:r w:rsidR="00BA5010">
        <w:t>c</w:t>
      </w:r>
      <w:r>
        <w:t xml:space="preserve">onceptual and </w:t>
      </w:r>
      <w:r w:rsidR="00BA5010">
        <w:t>p</w:t>
      </w:r>
      <w:r>
        <w:t xml:space="preserve">erceptual </w:t>
      </w:r>
      <w:r w:rsidR="00BA5010">
        <w:t>i</w:t>
      </w:r>
      <w:r>
        <w:t xml:space="preserve">ntrigue within </w:t>
      </w:r>
      <w:r w:rsidR="00BA5010">
        <w:t>d</w:t>
      </w:r>
      <w:r>
        <w:t xml:space="preserve">rawing </w:t>
      </w:r>
      <w:r w:rsidR="00BA5010">
        <w:t>p</w:t>
      </w:r>
      <w:r>
        <w:t>ractice.</w:t>
      </w:r>
      <w:r w:rsidR="0072449C">
        <w:t>’</w:t>
      </w:r>
      <w:r>
        <w:t xml:space="preserve"> </w:t>
      </w:r>
      <w:r>
        <w:rPr>
          <w:i/>
        </w:rPr>
        <w:t xml:space="preserve">Tracey </w:t>
      </w:r>
      <w:r>
        <w:t>1</w:t>
      </w:r>
      <w:r w:rsidR="00BA5010">
        <w:t>3 pp1-12.</w:t>
      </w:r>
      <w:r w:rsidR="00A326E1" w:rsidRPr="00A326E1">
        <w:rPr>
          <w:rFonts w:ascii="Helvetica Neue" w:hAnsi="Helvetica Neue"/>
          <w:sz w:val="18"/>
          <w:szCs w:val="18"/>
          <w:shd w:val="clear" w:color="auto" w:fill="FFFFFF"/>
        </w:rPr>
        <w:t xml:space="preserve"> </w:t>
      </w:r>
      <w:r w:rsidR="00A326E1" w:rsidRPr="006568B1">
        <w:rPr>
          <w:color w:val="000000" w:themeColor="text1"/>
          <w:shd w:val="clear" w:color="auto" w:fill="FFFFFF"/>
        </w:rPr>
        <w:t xml:space="preserve">Available at: </w:t>
      </w:r>
      <w:hyperlink r:id="rId16" w:history="1">
        <w:r w:rsidR="006568B1" w:rsidRPr="006568B1">
          <w:rPr>
            <w:rStyle w:val="Hyperlink"/>
          </w:rPr>
          <w:t>https://ojs.lboro.ac.uk/TRACEY/article/view/2539</w:t>
        </w:r>
      </w:hyperlink>
      <w:r w:rsidR="00A326E1" w:rsidRPr="006568B1">
        <w:rPr>
          <w:shd w:val="clear" w:color="auto" w:fill="FFFFFF"/>
        </w:rPr>
        <w:t xml:space="preserve">. Date accessed: </w:t>
      </w:r>
      <w:r w:rsidR="00D50DE9">
        <w:rPr>
          <w:shd w:val="clear" w:color="auto" w:fill="FFFFFF"/>
        </w:rPr>
        <w:t>1</w:t>
      </w:r>
      <w:r w:rsidR="00A326E1" w:rsidRPr="006568B1">
        <w:rPr>
          <w:shd w:val="clear" w:color="auto" w:fill="FFFFFF"/>
        </w:rPr>
        <w:t xml:space="preserve">3 </w:t>
      </w:r>
      <w:r w:rsidR="006568B1">
        <w:rPr>
          <w:shd w:val="clear" w:color="auto" w:fill="FFFFFF"/>
        </w:rPr>
        <w:t>M</w:t>
      </w:r>
      <w:r w:rsidR="00A326E1" w:rsidRPr="006568B1">
        <w:rPr>
          <w:shd w:val="clear" w:color="auto" w:fill="FFFFFF"/>
        </w:rPr>
        <w:t>a</w:t>
      </w:r>
      <w:r w:rsidR="00D50DE9">
        <w:rPr>
          <w:shd w:val="clear" w:color="auto" w:fill="FFFFFF"/>
        </w:rPr>
        <w:t>y</w:t>
      </w:r>
      <w:r w:rsidR="006568B1">
        <w:rPr>
          <w:shd w:val="clear" w:color="auto" w:fill="FFFFFF"/>
        </w:rPr>
        <w:t xml:space="preserve"> </w:t>
      </w:r>
      <w:r w:rsidR="00A326E1" w:rsidRPr="006568B1">
        <w:rPr>
          <w:shd w:val="clear" w:color="auto" w:fill="FFFFFF"/>
        </w:rPr>
        <w:t>202</w:t>
      </w:r>
      <w:r w:rsidR="00D50DE9">
        <w:rPr>
          <w:shd w:val="clear" w:color="auto" w:fill="FFFFFF"/>
        </w:rPr>
        <w:t>1</w:t>
      </w:r>
    </w:p>
    <w:p w14:paraId="33F29E86" w14:textId="3AA558B6" w:rsidR="007A3D3E" w:rsidRPr="007A3D3E" w:rsidRDefault="007A3D3E" w:rsidP="004B3F03">
      <w:pPr>
        <w:pStyle w:val="BodyText"/>
        <w:spacing w:line="240" w:lineRule="auto"/>
      </w:pPr>
    </w:p>
    <w:p w14:paraId="0C4BDD63" w14:textId="02F72E48" w:rsidR="00766D09" w:rsidRDefault="00766D09" w:rsidP="004B3F03">
      <w:pPr>
        <w:pStyle w:val="BodyText"/>
        <w:spacing w:line="240" w:lineRule="auto"/>
      </w:pPr>
      <w:r>
        <w:t>R</w:t>
      </w:r>
      <w:r w:rsidR="0021282D">
        <w:t>iley</w:t>
      </w:r>
      <w:r>
        <w:t>, H</w:t>
      </w:r>
      <w:r w:rsidR="0021282D">
        <w:t>oward</w:t>
      </w:r>
      <w:r>
        <w:t xml:space="preserve"> </w:t>
      </w:r>
      <w:r w:rsidR="005D6B66">
        <w:t>(</w:t>
      </w:r>
      <w:r>
        <w:t>2019</w:t>
      </w:r>
      <w:r w:rsidR="005D6B66">
        <w:t>)</w:t>
      </w:r>
      <w:r w:rsidR="003D17FF">
        <w:t>,</w:t>
      </w:r>
      <w:r w:rsidR="00596A4E">
        <w:t xml:space="preserve"> </w:t>
      </w:r>
      <w:r w:rsidR="0072449C">
        <w:t>‘</w:t>
      </w:r>
      <w:r>
        <w:t xml:space="preserve">Drawing as </w:t>
      </w:r>
      <w:r w:rsidR="0058563F">
        <w:t>l</w:t>
      </w:r>
      <w:r>
        <w:t xml:space="preserve">anguage: </w:t>
      </w:r>
      <w:r w:rsidR="0058563F">
        <w:t>t</w:t>
      </w:r>
      <w:r>
        <w:t xml:space="preserve">he </w:t>
      </w:r>
      <w:r w:rsidR="0058563F">
        <w:t>s</w:t>
      </w:r>
      <w:r>
        <w:t>ystemic-</w:t>
      </w:r>
      <w:r w:rsidR="0058563F">
        <w:t>f</w:t>
      </w:r>
      <w:r>
        <w:t xml:space="preserve">unctional </w:t>
      </w:r>
      <w:r w:rsidR="0058563F">
        <w:t>s</w:t>
      </w:r>
      <w:r>
        <w:t xml:space="preserve">emiotic </w:t>
      </w:r>
      <w:r w:rsidR="0058563F">
        <w:t>a</w:t>
      </w:r>
      <w:r>
        <w:t>rgument</w:t>
      </w:r>
      <w:r w:rsidR="00596A4E">
        <w:t>.</w:t>
      </w:r>
      <w:r w:rsidR="0072449C">
        <w:t xml:space="preserve">’ </w:t>
      </w:r>
      <w:r>
        <w:rPr>
          <w:i/>
        </w:rPr>
        <w:t>Journal of Visual Art Practice</w:t>
      </w:r>
      <w:r w:rsidR="00596A4E">
        <w:t xml:space="preserve">. </w:t>
      </w:r>
      <w:r w:rsidR="00035F54">
        <w:t>18</w:t>
      </w:r>
      <w:r w:rsidR="00596A4E">
        <w:t>:</w:t>
      </w:r>
      <w:r w:rsidR="00035F54">
        <w:t xml:space="preserve">2 pp132-144. </w:t>
      </w:r>
    </w:p>
    <w:p w14:paraId="15ABA102" w14:textId="744C91E1" w:rsidR="00040AF1" w:rsidRDefault="00040AF1" w:rsidP="004B3F03">
      <w:pPr>
        <w:pStyle w:val="BodyText"/>
        <w:spacing w:line="240" w:lineRule="auto"/>
      </w:pPr>
    </w:p>
    <w:p w14:paraId="388561DF" w14:textId="7ABF68D5" w:rsidR="00040AF1" w:rsidRPr="00040AF1" w:rsidRDefault="00040AF1" w:rsidP="004B3F03">
      <w:pPr>
        <w:pStyle w:val="BodyText"/>
        <w:spacing w:line="240" w:lineRule="auto"/>
      </w:pPr>
      <w:r>
        <w:t xml:space="preserve">Saad-Filho, Alfredo and Johnston, Deborah (eds.) </w:t>
      </w:r>
      <w:r w:rsidR="005D6B66">
        <w:t>(</w:t>
      </w:r>
      <w:r>
        <w:t>2005</w:t>
      </w:r>
      <w:r w:rsidR="005D6B66">
        <w:t>)</w:t>
      </w:r>
      <w:r w:rsidR="003D17FF">
        <w:t>,</w:t>
      </w:r>
      <w:r>
        <w:t xml:space="preserve"> </w:t>
      </w:r>
      <w:r>
        <w:rPr>
          <w:i/>
        </w:rPr>
        <w:t xml:space="preserve">Neoliberalism: A Critical Reader. </w:t>
      </w:r>
      <w:r>
        <w:t>London: Pluto Press.</w:t>
      </w:r>
    </w:p>
    <w:p w14:paraId="57F4D21D" w14:textId="77777777" w:rsidR="003D7FDA" w:rsidRPr="00DD64D8" w:rsidRDefault="003D7FDA" w:rsidP="003D7FDA">
      <w:pPr>
        <w:pStyle w:val="EndNoteBibliography"/>
        <w:ind w:left="720" w:hanging="720"/>
        <w:rPr>
          <w:color w:val="000000" w:themeColor="text1"/>
        </w:rPr>
      </w:pPr>
    </w:p>
    <w:p w14:paraId="662D9180" w14:textId="2889BA68" w:rsidR="003D7FDA" w:rsidRDefault="003D7FDA" w:rsidP="003D7FDA">
      <w:pPr>
        <w:pStyle w:val="EndNoteBibliography"/>
        <w:ind w:left="720" w:hanging="720"/>
        <w:rPr>
          <w:noProof/>
        </w:rPr>
      </w:pPr>
      <w:r>
        <w:rPr>
          <w:noProof/>
        </w:rPr>
        <w:t>Schmand-Besserat, D. (</w:t>
      </w:r>
      <w:r w:rsidR="00E662F4">
        <w:rPr>
          <w:noProof/>
        </w:rPr>
        <w:t>2014</w:t>
      </w:r>
      <w:r>
        <w:rPr>
          <w:noProof/>
        </w:rPr>
        <w:t>)</w:t>
      </w:r>
      <w:r w:rsidR="003D17FF">
        <w:rPr>
          <w:noProof/>
        </w:rPr>
        <w:t>,</w:t>
      </w:r>
      <w:r>
        <w:rPr>
          <w:noProof/>
        </w:rPr>
        <w:t xml:space="preserve"> </w:t>
      </w:r>
      <w:r w:rsidRPr="00493AF4">
        <w:rPr>
          <w:i/>
          <w:iCs/>
          <w:noProof/>
        </w:rPr>
        <w:t>The Evolution of Writing</w:t>
      </w:r>
      <w:r w:rsidR="00596A4E" w:rsidRPr="00493AF4">
        <w:rPr>
          <w:i/>
          <w:iCs/>
          <w:noProof/>
        </w:rPr>
        <w:t>.</w:t>
      </w:r>
      <w:r w:rsidR="00596A4E">
        <w:rPr>
          <w:noProof/>
        </w:rPr>
        <w:t xml:space="preserve"> A</w:t>
      </w:r>
      <w:r>
        <w:rPr>
          <w:noProof/>
        </w:rPr>
        <w:t>vailable at:</w:t>
      </w:r>
    </w:p>
    <w:p w14:paraId="7D33DC13" w14:textId="42623F14" w:rsidR="003D7FDA" w:rsidRDefault="003D7FDA" w:rsidP="003D7FDA">
      <w:pPr>
        <w:pStyle w:val="EndNoteBibliography"/>
        <w:ind w:left="720" w:hanging="720"/>
        <w:rPr>
          <w:color w:val="000000" w:themeColor="text1"/>
        </w:rPr>
      </w:pPr>
      <w:r w:rsidRPr="00C744E3">
        <w:rPr>
          <w:color w:val="000000" w:themeColor="text1"/>
        </w:rPr>
        <w:t>https://sites.utexas.edu/dsb/tokens/the-evolution-of-writing/</w:t>
      </w:r>
      <w:r w:rsidRPr="00010ACF">
        <w:rPr>
          <w:color w:val="000000" w:themeColor="text1"/>
        </w:rPr>
        <w:t xml:space="preserve"> Accessed </w:t>
      </w:r>
      <w:r w:rsidR="00D50DE9">
        <w:rPr>
          <w:color w:val="000000" w:themeColor="text1"/>
        </w:rPr>
        <w:t>13</w:t>
      </w:r>
      <w:r w:rsidRPr="00010ACF">
        <w:rPr>
          <w:color w:val="000000" w:themeColor="text1"/>
        </w:rPr>
        <w:t xml:space="preserve"> </w:t>
      </w:r>
      <w:r w:rsidR="00D50DE9">
        <w:rPr>
          <w:color w:val="000000" w:themeColor="text1"/>
        </w:rPr>
        <w:t>May</w:t>
      </w:r>
      <w:r w:rsidRPr="00010ACF">
        <w:rPr>
          <w:color w:val="000000" w:themeColor="text1"/>
        </w:rPr>
        <w:t xml:space="preserve"> 20</w:t>
      </w:r>
      <w:r w:rsidR="00D50DE9">
        <w:rPr>
          <w:color w:val="000000" w:themeColor="text1"/>
        </w:rPr>
        <w:t>21</w:t>
      </w:r>
      <w:r w:rsidRPr="00010ACF">
        <w:rPr>
          <w:color w:val="000000" w:themeColor="text1"/>
        </w:rPr>
        <w:t>.</w:t>
      </w:r>
    </w:p>
    <w:p w14:paraId="150E8EE1" w14:textId="6A8BF838" w:rsidR="005E10A4" w:rsidRDefault="005E10A4" w:rsidP="003D7FDA">
      <w:pPr>
        <w:pStyle w:val="EndNoteBibliography"/>
        <w:ind w:left="720" w:hanging="720"/>
        <w:rPr>
          <w:color w:val="000000" w:themeColor="text1"/>
        </w:rPr>
      </w:pPr>
    </w:p>
    <w:p w14:paraId="5D310A42" w14:textId="4E1ACCBD" w:rsidR="00F65F16" w:rsidRPr="00532838" w:rsidRDefault="005E10A4" w:rsidP="003D7FDA">
      <w:pPr>
        <w:pStyle w:val="EndNoteBibliography"/>
        <w:ind w:left="720" w:hanging="720"/>
        <w:rPr>
          <w:i/>
          <w:iCs/>
          <w:color w:val="000000" w:themeColor="text1"/>
        </w:rPr>
      </w:pPr>
      <w:r w:rsidRPr="00532838">
        <w:rPr>
          <w:color w:val="000000" w:themeColor="text1"/>
        </w:rPr>
        <w:t xml:space="preserve">Simmonds, Seymour </w:t>
      </w:r>
      <w:r w:rsidR="00103EDE">
        <w:rPr>
          <w:color w:val="000000" w:themeColor="text1"/>
        </w:rPr>
        <w:t>(</w:t>
      </w:r>
      <w:r w:rsidRPr="00532838">
        <w:rPr>
          <w:color w:val="000000" w:themeColor="text1"/>
        </w:rPr>
        <w:t>2021</w:t>
      </w:r>
      <w:r w:rsidR="00103EDE">
        <w:rPr>
          <w:color w:val="000000" w:themeColor="text1"/>
        </w:rPr>
        <w:t>)</w:t>
      </w:r>
      <w:r w:rsidR="003D17FF">
        <w:rPr>
          <w:color w:val="000000" w:themeColor="text1"/>
        </w:rPr>
        <w:t xml:space="preserve">, </w:t>
      </w:r>
      <w:r w:rsidRPr="00532838">
        <w:rPr>
          <w:i/>
          <w:iCs/>
          <w:color w:val="000000" w:themeColor="text1"/>
        </w:rPr>
        <w:t xml:space="preserve">The Value of Drawing Instruction in the Visual Arts and </w:t>
      </w:r>
      <w:r w:rsidR="00F65F16" w:rsidRPr="00532838">
        <w:rPr>
          <w:i/>
          <w:iCs/>
          <w:color w:val="000000" w:themeColor="text1"/>
        </w:rPr>
        <w:t>A</w:t>
      </w:r>
      <w:r w:rsidRPr="00532838">
        <w:rPr>
          <w:i/>
          <w:iCs/>
          <w:color w:val="000000" w:themeColor="text1"/>
        </w:rPr>
        <w:t>cross</w:t>
      </w:r>
    </w:p>
    <w:p w14:paraId="16BE7C2D" w14:textId="681DE041" w:rsidR="005E10A4" w:rsidRPr="00532838" w:rsidRDefault="00F65F16" w:rsidP="003D7FDA">
      <w:pPr>
        <w:pStyle w:val="EndNoteBibliography"/>
        <w:ind w:left="720" w:hanging="720"/>
        <w:rPr>
          <w:color w:val="000000" w:themeColor="text1"/>
        </w:rPr>
      </w:pPr>
      <w:r w:rsidRPr="00532838">
        <w:rPr>
          <w:i/>
          <w:iCs/>
          <w:color w:val="000000" w:themeColor="text1"/>
        </w:rPr>
        <w:t xml:space="preserve">Curricula. </w:t>
      </w:r>
      <w:r w:rsidRPr="00532838">
        <w:rPr>
          <w:color w:val="000000" w:themeColor="text1"/>
        </w:rPr>
        <w:t>London: Routledge</w:t>
      </w:r>
    </w:p>
    <w:p w14:paraId="75ADBFB4" w14:textId="25A05733" w:rsidR="00CB5E7C" w:rsidRDefault="00CB5E7C" w:rsidP="00493AF4">
      <w:pPr>
        <w:pStyle w:val="EndNoteBibliography"/>
        <w:rPr>
          <w:color w:val="000000" w:themeColor="text1"/>
        </w:rPr>
      </w:pPr>
    </w:p>
    <w:p w14:paraId="39290900" w14:textId="588A12F9" w:rsidR="00D96B69" w:rsidRPr="006363DA" w:rsidRDefault="00CB5E7C" w:rsidP="003D7FDA">
      <w:pPr>
        <w:pStyle w:val="EndNoteBibliography"/>
        <w:ind w:left="720" w:hanging="720"/>
        <w:rPr>
          <w:i/>
          <w:color w:val="000000" w:themeColor="text1"/>
        </w:rPr>
      </w:pPr>
      <w:r w:rsidRPr="006363DA">
        <w:rPr>
          <w:color w:val="000000" w:themeColor="text1"/>
        </w:rPr>
        <w:t>Sorrell, J</w:t>
      </w:r>
      <w:r w:rsidR="00D96B69" w:rsidRPr="006363DA">
        <w:rPr>
          <w:color w:val="000000" w:themeColor="text1"/>
        </w:rPr>
        <w:t>ohn;</w:t>
      </w:r>
      <w:r w:rsidRPr="006363DA">
        <w:rPr>
          <w:color w:val="000000" w:themeColor="text1"/>
        </w:rPr>
        <w:t xml:space="preserve"> Roberts, P</w:t>
      </w:r>
      <w:r w:rsidR="00D96B69" w:rsidRPr="006363DA">
        <w:rPr>
          <w:color w:val="000000" w:themeColor="text1"/>
        </w:rPr>
        <w:t>aul</w:t>
      </w:r>
      <w:r w:rsidRPr="006363DA">
        <w:rPr>
          <w:color w:val="000000" w:themeColor="text1"/>
        </w:rPr>
        <w:t xml:space="preserve"> and Henley, D</w:t>
      </w:r>
      <w:r w:rsidR="00D96B69" w:rsidRPr="006363DA">
        <w:rPr>
          <w:color w:val="000000" w:themeColor="text1"/>
        </w:rPr>
        <w:t>arren</w:t>
      </w:r>
      <w:r w:rsidRPr="006363DA">
        <w:rPr>
          <w:color w:val="000000" w:themeColor="text1"/>
        </w:rPr>
        <w:t xml:space="preserve"> (201</w:t>
      </w:r>
      <w:r w:rsidR="009F3BE3" w:rsidRPr="006363DA">
        <w:rPr>
          <w:color w:val="000000" w:themeColor="text1"/>
        </w:rPr>
        <w:t>4</w:t>
      </w:r>
      <w:r w:rsidRPr="006363DA">
        <w:rPr>
          <w:color w:val="000000" w:themeColor="text1"/>
        </w:rPr>
        <w:t>)</w:t>
      </w:r>
      <w:r w:rsidR="003D17FF">
        <w:rPr>
          <w:color w:val="000000" w:themeColor="text1"/>
        </w:rPr>
        <w:t xml:space="preserve">, </w:t>
      </w:r>
      <w:r w:rsidRPr="006363DA">
        <w:rPr>
          <w:i/>
          <w:color w:val="000000" w:themeColor="text1"/>
        </w:rPr>
        <w:t>The Virtuous Circle: Why Creativity</w:t>
      </w:r>
    </w:p>
    <w:p w14:paraId="133E0E48" w14:textId="1F1D5325" w:rsidR="00CB5E7C" w:rsidRPr="006363DA" w:rsidRDefault="00D96B69" w:rsidP="00D96B69">
      <w:pPr>
        <w:pStyle w:val="EndNoteBibliography"/>
        <w:ind w:left="720" w:hanging="720"/>
        <w:rPr>
          <w:i/>
          <w:color w:val="000000" w:themeColor="text1"/>
        </w:rPr>
      </w:pPr>
      <w:r w:rsidRPr="006363DA">
        <w:rPr>
          <w:i/>
          <w:color w:val="000000" w:themeColor="text1"/>
        </w:rPr>
        <w:t>A</w:t>
      </w:r>
      <w:r w:rsidR="00CB5E7C" w:rsidRPr="006363DA">
        <w:rPr>
          <w:i/>
          <w:color w:val="000000" w:themeColor="text1"/>
        </w:rPr>
        <w:t>nd</w:t>
      </w:r>
      <w:r w:rsidRPr="006363DA">
        <w:rPr>
          <w:i/>
          <w:color w:val="000000" w:themeColor="text1"/>
        </w:rPr>
        <w:t xml:space="preserve"> </w:t>
      </w:r>
      <w:r w:rsidR="00CB5E7C" w:rsidRPr="006363DA">
        <w:rPr>
          <w:i/>
          <w:color w:val="000000" w:themeColor="text1"/>
        </w:rPr>
        <w:t xml:space="preserve">Cultural Education Count. </w:t>
      </w:r>
      <w:r w:rsidR="00CB5E7C" w:rsidRPr="006363DA">
        <w:rPr>
          <w:color w:val="000000" w:themeColor="text1"/>
        </w:rPr>
        <w:t>London: Elliot and Thompson.</w:t>
      </w:r>
    </w:p>
    <w:p w14:paraId="2DBFF89B" w14:textId="38B1264E" w:rsidR="001B7496" w:rsidRDefault="001B7496" w:rsidP="003D7FDA">
      <w:pPr>
        <w:pStyle w:val="EndNoteBibliography"/>
        <w:ind w:left="720" w:hanging="720"/>
        <w:rPr>
          <w:color w:val="000000" w:themeColor="text1"/>
        </w:rPr>
      </w:pPr>
    </w:p>
    <w:p w14:paraId="55212AD2" w14:textId="74749A6B" w:rsidR="00A636B9" w:rsidRDefault="00A636B9" w:rsidP="003D7FDA">
      <w:pPr>
        <w:pStyle w:val="EndNoteBibliography"/>
        <w:ind w:left="720" w:hanging="720"/>
        <w:rPr>
          <w:color w:val="000000" w:themeColor="text1"/>
        </w:rPr>
      </w:pPr>
    </w:p>
    <w:p w14:paraId="1A06EE51" w14:textId="082AD80A" w:rsidR="00B5383A" w:rsidRDefault="00A636B9" w:rsidP="003D7FDA">
      <w:pPr>
        <w:pStyle w:val="EndNoteBibliography"/>
        <w:ind w:left="720" w:hanging="720"/>
        <w:rPr>
          <w:color w:val="000000" w:themeColor="text1"/>
        </w:rPr>
      </w:pPr>
      <w:r>
        <w:rPr>
          <w:color w:val="000000" w:themeColor="text1"/>
        </w:rPr>
        <w:t xml:space="preserve">Winner, Ellen and </w:t>
      </w:r>
      <w:proofErr w:type="spellStart"/>
      <w:r>
        <w:rPr>
          <w:color w:val="000000" w:themeColor="text1"/>
        </w:rPr>
        <w:t>Hetland</w:t>
      </w:r>
      <w:proofErr w:type="spellEnd"/>
      <w:r>
        <w:rPr>
          <w:color w:val="000000" w:themeColor="text1"/>
        </w:rPr>
        <w:t xml:space="preserve">, Lois </w:t>
      </w:r>
      <w:r w:rsidR="005D6B66">
        <w:rPr>
          <w:color w:val="000000" w:themeColor="text1"/>
        </w:rPr>
        <w:t>(</w:t>
      </w:r>
      <w:r>
        <w:rPr>
          <w:color w:val="000000" w:themeColor="text1"/>
        </w:rPr>
        <w:t>2000</w:t>
      </w:r>
      <w:r w:rsidR="005D6B66">
        <w:rPr>
          <w:color w:val="000000" w:themeColor="text1"/>
        </w:rPr>
        <w:t>)</w:t>
      </w:r>
      <w:r w:rsidR="003D17FF">
        <w:rPr>
          <w:color w:val="000000" w:themeColor="text1"/>
        </w:rPr>
        <w:t>,</w:t>
      </w:r>
      <w:r>
        <w:rPr>
          <w:color w:val="000000" w:themeColor="text1"/>
        </w:rPr>
        <w:t xml:space="preserve"> </w:t>
      </w:r>
      <w:r w:rsidR="0072449C">
        <w:rPr>
          <w:color w:val="000000" w:themeColor="text1"/>
        </w:rPr>
        <w:t>‘</w:t>
      </w:r>
      <w:r w:rsidR="00B5383A">
        <w:rPr>
          <w:color w:val="000000" w:themeColor="text1"/>
        </w:rPr>
        <w:t>The arts in education: evaluating the evidence for a</w:t>
      </w:r>
    </w:p>
    <w:p w14:paraId="3854FCCC" w14:textId="4BF48781" w:rsidR="00A636B9" w:rsidRDefault="00B5383A" w:rsidP="003D7FDA">
      <w:pPr>
        <w:pStyle w:val="EndNoteBibliography"/>
        <w:ind w:left="720" w:hanging="720"/>
        <w:rPr>
          <w:color w:val="000000" w:themeColor="text1"/>
        </w:rPr>
      </w:pPr>
      <w:r>
        <w:rPr>
          <w:color w:val="000000" w:themeColor="text1"/>
        </w:rPr>
        <w:t>causal link.</w:t>
      </w:r>
      <w:r w:rsidR="0072449C">
        <w:rPr>
          <w:color w:val="000000" w:themeColor="text1"/>
        </w:rPr>
        <w:t>’</w:t>
      </w:r>
      <w:r>
        <w:rPr>
          <w:color w:val="000000" w:themeColor="text1"/>
        </w:rPr>
        <w:t xml:space="preserve"> </w:t>
      </w:r>
      <w:r>
        <w:rPr>
          <w:i/>
          <w:color w:val="000000" w:themeColor="text1"/>
        </w:rPr>
        <w:t xml:space="preserve">The Journal of Aesthetic Education. </w:t>
      </w:r>
      <w:r w:rsidRPr="006F0A22">
        <w:rPr>
          <w:color w:val="000000" w:themeColor="text1"/>
        </w:rPr>
        <w:t>34</w:t>
      </w:r>
      <w:r w:rsidR="00783F6F">
        <w:rPr>
          <w:color w:val="000000" w:themeColor="text1"/>
        </w:rPr>
        <w:t>:</w:t>
      </w:r>
      <w:r w:rsidRPr="006F0A22">
        <w:rPr>
          <w:color w:val="000000" w:themeColor="text1"/>
        </w:rPr>
        <w:t>3/4 pp</w:t>
      </w:r>
      <w:r>
        <w:rPr>
          <w:color w:val="000000" w:themeColor="text1"/>
        </w:rPr>
        <w:t>3-10.</w:t>
      </w:r>
    </w:p>
    <w:p w14:paraId="4765E33D" w14:textId="2ACB826A" w:rsidR="00343D63" w:rsidRDefault="00343D63" w:rsidP="003D7FDA">
      <w:pPr>
        <w:pStyle w:val="EndNoteBibliography"/>
        <w:ind w:left="720" w:hanging="720"/>
        <w:rPr>
          <w:i/>
          <w:color w:val="000000" w:themeColor="text1"/>
        </w:rPr>
      </w:pPr>
    </w:p>
    <w:p w14:paraId="1D546549" w14:textId="77777777" w:rsidR="00343D63" w:rsidRDefault="00343D63" w:rsidP="003D7FDA">
      <w:pPr>
        <w:pStyle w:val="EndNoteBibliography"/>
        <w:ind w:left="720" w:hanging="720"/>
        <w:rPr>
          <w:color w:val="000000" w:themeColor="text1"/>
        </w:rPr>
      </w:pPr>
      <w:r>
        <w:rPr>
          <w:color w:val="000000" w:themeColor="text1"/>
        </w:rPr>
        <w:t xml:space="preserve">Winner, Ellen; </w:t>
      </w:r>
      <w:proofErr w:type="spellStart"/>
      <w:r>
        <w:rPr>
          <w:color w:val="000000" w:themeColor="text1"/>
        </w:rPr>
        <w:t>Hetland</w:t>
      </w:r>
      <w:proofErr w:type="spellEnd"/>
      <w:r>
        <w:rPr>
          <w:color w:val="000000" w:themeColor="text1"/>
        </w:rPr>
        <w:t xml:space="preserve">, Lois; </w:t>
      </w:r>
      <w:proofErr w:type="spellStart"/>
      <w:r>
        <w:rPr>
          <w:color w:val="000000" w:themeColor="text1"/>
        </w:rPr>
        <w:t>Veenema</w:t>
      </w:r>
      <w:proofErr w:type="spellEnd"/>
      <w:r>
        <w:rPr>
          <w:color w:val="000000" w:themeColor="text1"/>
        </w:rPr>
        <w:t xml:space="preserve">, Shirley; Sheridan, Kimberly and Palmer, Patricia </w:t>
      </w:r>
    </w:p>
    <w:p w14:paraId="6408BF9A" w14:textId="678C75F3" w:rsidR="006568B1" w:rsidRDefault="00783F6F" w:rsidP="00E476CD">
      <w:pPr>
        <w:pStyle w:val="EndNoteBibliography"/>
        <w:ind w:left="720" w:hanging="720"/>
        <w:rPr>
          <w:color w:val="000000" w:themeColor="text1"/>
        </w:rPr>
      </w:pPr>
      <w:r>
        <w:rPr>
          <w:color w:val="000000" w:themeColor="text1"/>
        </w:rPr>
        <w:t>(</w:t>
      </w:r>
      <w:r w:rsidR="00343D63">
        <w:rPr>
          <w:color w:val="000000" w:themeColor="text1"/>
        </w:rPr>
        <w:t>2019</w:t>
      </w:r>
      <w:r>
        <w:rPr>
          <w:color w:val="000000" w:themeColor="text1"/>
        </w:rPr>
        <w:t>)</w:t>
      </w:r>
      <w:r w:rsidR="003D17FF">
        <w:rPr>
          <w:color w:val="000000" w:themeColor="text1"/>
        </w:rPr>
        <w:t>,</w:t>
      </w:r>
      <w:r w:rsidR="00343D63">
        <w:rPr>
          <w:color w:val="000000" w:themeColor="text1"/>
        </w:rPr>
        <w:t xml:space="preserve"> (</w:t>
      </w:r>
      <w:r>
        <w:rPr>
          <w:color w:val="000000" w:themeColor="text1"/>
        </w:rPr>
        <w:t>1</w:t>
      </w:r>
      <w:r w:rsidRPr="008C00E9">
        <w:rPr>
          <w:color w:val="000000" w:themeColor="text1"/>
          <w:vertAlign w:val="superscript"/>
        </w:rPr>
        <w:t>st</w:t>
      </w:r>
      <w:r>
        <w:rPr>
          <w:color w:val="000000" w:themeColor="text1"/>
        </w:rPr>
        <w:t xml:space="preserve"> publ. </w:t>
      </w:r>
      <w:r w:rsidR="00343D63">
        <w:rPr>
          <w:color w:val="000000" w:themeColor="text1"/>
        </w:rPr>
        <w:t xml:space="preserve">2006) </w:t>
      </w:r>
      <w:r w:rsidR="0072449C">
        <w:rPr>
          <w:color w:val="000000" w:themeColor="text1"/>
        </w:rPr>
        <w:t>‘</w:t>
      </w:r>
      <w:r w:rsidR="00343D63">
        <w:rPr>
          <w:color w:val="000000" w:themeColor="text1"/>
        </w:rPr>
        <w:t>Studio thinking: how visual arts teaching can</w:t>
      </w:r>
      <w:r w:rsidR="00E476CD">
        <w:rPr>
          <w:color w:val="000000" w:themeColor="text1"/>
        </w:rPr>
        <w:t xml:space="preserve"> </w:t>
      </w:r>
      <w:r w:rsidR="00343D63">
        <w:rPr>
          <w:color w:val="000000" w:themeColor="text1"/>
        </w:rPr>
        <w:t>promote disciplined</w:t>
      </w:r>
    </w:p>
    <w:p w14:paraId="20E7D186" w14:textId="406C6394" w:rsidR="006568B1" w:rsidRDefault="00343D63" w:rsidP="006568B1">
      <w:pPr>
        <w:pStyle w:val="EndNoteBibliography"/>
        <w:ind w:left="720" w:hanging="720"/>
        <w:rPr>
          <w:i/>
          <w:color w:val="000000" w:themeColor="text1"/>
        </w:rPr>
      </w:pPr>
      <w:r>
        <w:rPr>
          <w:color w:val="000000" w:themeColor="text1"/>
        </w:rPr>
        <w:t>habits of</w:t>
      </w:r>
      <w:r w:rsidR="006568B1">
        <w:rPr>
          <w:color w:val="000000" w:themeColor="text1"/>
        </w:rPr>
        <w:t xml:space="preserve"> </w:t>
      </w:r>
      <w:r>
        <w:rPr>
          <w:color w:val="000000" w:themeColor="text1"/>
        </w:rPr>
        <w:t>mind.</w:t>
      </w:r>
      <w:r w:rsidR="0072449C">
        <w:rPr>
          <w:color w:val="000000" w:themeColor="text1"/>
        </w:rPr>
        <w:t>’</w:t>
      </w:r>
      <w:r>
        <w:rPr>
          <w:color w:val="000000" w:themeColor="text1"/>
        </w:rPr>
        <w:t xml:space="preserve"> In </w:t>
      </w:r>
      <w:proofErr w:type="spellStart"/>
      <w:r>
        <w:rPr>
          <w:color w:val="000000" w:themeColor="text1"/>
        </w:rPr>
        <w:t>Locher</w:t>
      </w:r>
      <w:proofErr w:type="spellEnd"/>
      <w:r>
        <w:rPr>
          <w:color w:val="000000" w:themeColor="text1"/>
        </w:rPr>
        <w:t>, Paul</w:t>
      </w:r>
      <w:r w:rsidR="00E476CD">
        <w:rPr>
          <w:color w:val="000000" w:themeColor="text1"/>
        </w:rPr>
        <w:t>;</w:t>
      </w:r>
      <w:r>
        <w:rPr>
          <w:color w:val="000000" w:themeColor="text1"/>
        </w:rPr>
        <w:t xml:space="preserve"> Martindale</w:t>
      </w:r>
      <w:r>
        <w:rPr>
          <w:i/>
          <w:color w:val="000000" w:themeColor="text1"/>
        </w:rPr>
        <w:t>,</w:t>
      </w:r>
      <w:r w:rsidRPr="006F0A22">
        <w:rPr>
          <w:color w:val="000000" w:themeColor="text1"/>
        </w:rPr>
        <w:t xml:space="preserve"> Colin and Dorfman, Leonid</w:t>
      </w:r>
      <w:r w:rsidR="00E476CD">
        <w:rPr>
          <w:color w:val="000000" w:themeColor="text1"/>
        </w:rPr>
        <w:t xml:space="preserve"> </w:t>
      </w:r>
      <w:r w:rsidRPr="006F0A22">
        <w:rPr>
          <w:color w:val="000000" w:themeColor="text1"/>
        </w:rPr>
        <w:t>(eds.)</w:t>
      </w:r>
      <w:r>
        <w:rPr>
          <w:color w:val="000000" w:themeColor="text1"/>
        </w:rPr>
        <w:t xml:space="preserve"> </w:t>
      </w:r>
      <w:r>
        <w:rPr>
          <w:i/>
          <w:color w:val="000000" w:themeColor="text1"/>
        </w:rPr>
        <w:t>New</w:t>
      </w:r>
    </w:p>
    <w:p w14:paraId="5C56DB85" w14:textId="58F89502" w:rsidR="00343D63" w:rsidRPr="00343D63" w:rsidRDefault="00343D63" w:rsidP="006568B1">
      <w:pPr>
        <w:pStyle w:val="EndNoteBibliography"/>
        <w:ind w:left="720" w:hanging="720"/>
        <w:rPr>
          <w:color w:val="000000" w:themeColor="text1"/>
        </w:rPr>
      </w:pPr>
      <w:r>
        <w:rPr>
          <w:i/>
          <w:color w:val="000000" w:themeColor="text1"/>
        </w:rPr>
        <w:t>Directions in</w:t>
      </w:r>
      <w:r w:rsidR="006568B1">
        <w:rPr>
          <w:i/>
          <w:color w:val="000000" w:themeColor="text1"/>
        </w:rPr>
        <w:t xml:space="preserve"> </w:t>
      </w:r>
      <w:r>
        <w:rPr>
          <w:i/>
          <w:color w:val="000000" w:themeColor="text1"/>
        </w:rPr>
        <w:t xml:space="preserve">Aesthetics, Creativity and the Arts. </w:t>
      </w:r>
      <w:r>
        <w:rPr>
          <w:color w:val="000000" w:themeColor="text1"/>
        </w:rPr>
        <w:t>New York: Routledge. pp189-208.</w:t>
      </w:r>
    </w:p>
    <w:p w14:paraId="0D035846" w14:textId="10853B60" w:rsidR="0012281A" w:rsidRPr="0012281A" w:rsidRDefault="0012281A" w:rsidP="00FF4B69">
      <w:pPr>
        <w:pStyle w:val="BodyText"/>
        <w:spacing w:line="240" w:lineRule="auto"/>
        <w:rPr>
          <w:noProof/>
        </w:rPr>
      </w:pPr>
      <w:r>
        <w:rPr>
          <w:noProof/>
        </w:rPr>
        <w:t xml:space="preserve"> </w:t>
      </w:r>
    </w:p>
    <w:p w14:paraId="1F9332A7" w14:textId="46B5EF98" w:rsidR="00750CB9" w:rsidRPr="00D82C7E" w:rsidRDefault="00750CB9" w:rsidP="00FF4B69">
      <w:pPr>
        <w:pStyle w:val="BodyText"/>
        <w:spacing w:line="240" w:lineRule="auto"/>
        <w:rPr>
          <w:noProof/>
          <w:color w:val="000000" w:themeColor="text1"/>
        </w:rPr>
      </w:pPr>
      <w:r w:rsidRPr="00D82C7E">
        <w:rPr>
          <w:noProof/>
          <w:color w:val="000000" w:themeColor="text1"/>
        </w:rPr>
        <w:t xml:space="preserve">Witkin, Robert W. </w:t>
      </w:r>
      <w:r w:rsidR="00783F6F">
        <w:rPr>
          <w:noProof/>
          <w:color w:val="000000" w:themeColor="text1"/>
        </w:rPr>
        <w:t>(</w:t>
      </w:r>
      <w:r w:rsidRPr="00D82C7E">
        <w:rPr>
          <w:noProof/>
          <w:color w:val="000000" w:themeColor="text1"/>
        </w:rPr>
        <w:t>1974</w:t>
      </w:r>
      <w:r w:rsidR="00783F6F">
        <w:rPr>
          <w:noProof/>
          <w:color w:val="000000" w:themeColor="text1"/>
        </w:rPr>
        <w:t>)</w:t>
      </w:r>
      <w:r w:rsidR="003D17FF">
        <w:rPr>
          <w:noProof/>
          <w:color w:val="000000" w:themeColor="text1"/>
        </w:rPr>
        <w:t>,</w:t>
      </w:r>
      <w:r w:rsidRPr="00D82C7E">
        <w:rPr>
          <w:noProof/>
          <w:color w:val="000000" w:themeColor="text1"/>
        </w:rPr>
        <w:t xml:space="preserve"> </w:t>
      </w:r>
      <w:r w:rsidRPr="00D82C7E">
        <w:rPr>
          <w:i/>
          <w:noProof/>
          <w:color w:val="000000" w:themeColor="text1"/>
        </w:rPr>
        <w:t xml:space="preserve">The Intelligence of Feeling. </w:t>
      </w:r>
      <w:r w:rsidR="00420241" w:rsidRPr="00D82C7E">
        <w:rPr>
          <w:noProof/>
          <w:color w:val="000000" w:themeColor="text1"/>
        </w:rPr>
        <w:t>London: Heinemann.</w:t>
      </w:r>
    </w:p>
    <w:p w14:paraId="518DC9CF" w14:textId="7D49FC52" w:rsidR="002B2EF8" w:rsidRDefault="002B2EF8"/>
    <w:p w14:paraId="1A61E235" w14:textId="4CB56752" w:rsidR="00962AD2" w:rsidRPr="00962AD2" w:rsidRDefault="00962AD2">
      <w:r>
        <w:t>W</w:t>
      </w:r>
      <w:r w:rsidR="0021282D">
        <w:t>itkin</w:t>
      </w:r>
      <w:r>
        <w:t>, R</w:t>
      </w:r>
      <w:r w:rsidR="0021282D">
        <w:t xml:space="preserve">obert </w:t>
      </w:r>
      <w:r>
        <w:t xml:space="preserve">W. </w:t>
      </w:r>
      <w:r w:rsidR="00783F6F">
        <w:t>(</w:t>
      </w:r>
      <w:r>
        <w:t>1995</w:t>
      </w:r>
      <w:r w:rsidR="00783F6F">
        <w:t>)</w:t>
      </w:r>
      <w:r w:rsidR="003D17FF">
        <w:t>,</w:t>
      </w:r>
      <w:r>
        <w:t xml:space="preserve"> </w:t>
      </w:r>
      <w:r>
        <w:rPr>
          <w:i/>
        </w:rPr>
        <w:t>Art and Social Structure</w:t>
      </w:r>
      <w:r w:rsidR="00B62D10">
        <w:rPr>
          <w:i/>
        </w:rPr>
        <w:t>.</w:t>
      </w:r>
      <w:r>
        <w:rPr>
          <w:i/>
        </w:rPr>
        <w:t xml:space="preserve"> </w:t>
      </w:r>
      <w:r>
        <w:t>Cambridge: Polity Press.</w:t>
      </w:r>
    </w:p>
    <w:sectPr w:rsidR="00962AD2" w:rsidRPr="00962AD2" w:rsidSect="00F60E6D">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15F0" w14:textId="77777777" w:rsidR="00777159" w:rsidRDefault="00777159" w:rsidP="00D122A1">
      <w:r>
        <w:separator/>
      </w:r>
    </w:p>
  </w:endnote>
  <w:endnote w:type="continuationSeparator" w:id="0">
    <w:p w14:paraId="6FE000B6" w14:textId="77777777" w:rsidR="00777159" w:rsidRDefault="00777159" w:rsidP="00D1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563" w14:textId="77777777" w:rsidR="00D122A1" w:rsidRDefault="00D1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72A" w14:textId="77777777" w:rsidR="00D122A1" w:rsidRDefault="00D12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6561" w14:textId="77777777" w:rsidR="00D122A1" w:rsidRDefault="00D1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67C9" w14:textId="77777777" w:rsidR="00777159" w:rsidRDefault="00777159" w:rsidP="00D122A1">
      <w:r>
        <w:separator/>
      </w:r>
    </w:p>
  </w:footnote>
  <w:footnote w:type="continuationSeparator" w:id="0">
    <w:p w14:paraId="61BB3BF0" w14:textId="77777777" w:rsidR="00777159" w:rsidRDefault="00777159" w:rsidP="00D1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CF9B" w14:textId="77777777" w:rsidR="00D122A1" w:rsidRDefault="00D12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5F08" w14:textId="77777777" w:rsidR="00D122A1" w:rsidRDefault="00D1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75E" w14:textId="77777777" w:rsidR="00D122A1" w:rsidRDefault="00D12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630"/>
    <w:multiLevelType w:val="multilevel"/>
    <w:tmpl w:val="42CA9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69"/>
    <w:rsid w:val="0000330A"/>
    <w:rsid w:val="00006225"/>
    <w:rsid w:val="000078DC"/>
    <w:rsid w:val="00010BB3"/>
    <w:rsid w:val="00012B48"/>
    <w:rsid w:val="0001336B"/>
    <w:rsid w:val="00017151"/>
    <w:rsid w:val="000214D2"/>
    <w:rsid w:val="0002609D"/>
    <w:rsid w:val="000348C1"/>
    <w:rsid w:val="0003504D"/>
    <w:rsid w:val="00035F54"/>
    <w:rsid w:val="00036025"/>
    <w:rsid w:val="000368D8"/>
    <w:rsid w:val="0003702F"/>
    <w:rsid w:val="00040AF1"/>
    <w:rsid w:val="00040E70"/>
    <w:rsid w:val="00041218"/>
    <w:rsid w:val="00041660"/>
    <w:rsid w:val="000420F9"/>
    <w:rsid w:val="00044851"/>
    <w:rsid w:val="000459E2"/>
    <w:rsid w:val="00052142"/>
    <w:rsid w:val="00055B56"/>
    <w:rsid w:val="00057EDC"/>
    <w:rsid w:val="00060040"/>
    <w:rsid w:val="00060659"/>
    <w:rsid w:val="00060A73"/>
    <w:rsid w:val="00061B91"/>
    <w:rsid w:val="000630F0"/>
    <w:rsid w:val="00064AFE"/>
    <w:rsid w:val="0006592F"/>
    <w:rsid w:val="00070E5B"/>
    <w:rsid w:val="00071750"/>
    <w:rsid w:val="00073114"/>
    <w:rsid w:val="0007325E"/>
    <w:rsid w:val="000771A5"/>
    <w:rsid w:val="000800B6"/>
    <w:rsid w:val="00080C6B"/>
    <w:rsid w:val="000831D5"/>
    <w:rsid w:val="0008403F"/>
    <w:rsid w:val="00086116"/>
    <w:rsid w:val="00087893"/>
    <w:rsid w:val="00091A48"/>
    <w:rsid w:val="00097BF7"/>
    <w:rsid w:val="00097F64"/>
    <w:rsid w:val="000A10A6"/>
    <w:rsid w:val="000A48F6"/>
    <w:rsid w:val="000A5CDF"/>
    <w:rsid w:val="000B0E6E"/>
    <w:rsid w:val="000C157A"/>
    <w:rsid w:val="000C28C4"/>
    <w:rsid w:val="000C2AFA"/>
    <w:rsid w:val="000C6BEA"/>
    <w:rsid w:val="000D0275"/>
    <w:rsid w:val="000D0647"/>
    <w:rsid w:val="000D1390"/>
    <w:rsid w:val="000D1D44"/>
    <w:rsid w:val="000D4B57"/>
    <w:rsid w:val="000D7DB1"/>
    <w:rsid w:val="000E08D8"/>
    <w:rsid w:val="000E1C0B"/>
    <w:rsid w:val="000E424C"/>
    <w:rsid w:val="000E67B6"/>
    <w:rsid w:val="000F1DEC"/>
    <w:rsid w:val="000F2C37"/>
    <w:rsid w:val="000F37B9"/>
    <w:rsid w:val="000F46E3"/>
    <w:rsid w:val="000F4EC6"/>
    <w:rsid w:val="000F72F4"/>
    <w:rsid w:val="0010328C"/>
    <w:rsid w:val="00103EDE"/>
    <w:rsid w:val="0010606B"/>
    <w:rsid w:val="00111824"/>
    <w:rsid w:val="001227A4"/>
    <w:rsid w:val="0012281A"/>
    <w:rsid w:val="00122EE5"/>
    <w:rsid w:val="001244CD"/>
    <w:rsid w:val="001260EF"/>
    <w:rsid w:val="001266ED"/>
    <w:rsid w:val="00127C40"/>
    <w:rsid w:val="00130EC7"/>
    <w:rsid w:val="00131D4A"/>
    <w:rsid w:val="001328A5"/>
    <w:rsid w:val="001357A6"/>
    <w:rsid w:val="001375DB"/>
    <w:rsid w:val="00140D01"/>
    <w:rsid w:val="00141647"/>
    <w:rsid w:val="001423D0"/>
    <w:rsid w:val="00144F25"/>
    <w:rsid w:val="00145823"/>
    <w:rsid w:val="00146175"/>
    <w:rsid w:val="001529CB"/>
    <w:rsid w:val="0015588A"/>
    <w:rsid w:val="00155E24"/>
    <w:rsid w:val="0015643A"/>
    <w:rsid w:val="00160FBD"/>
    <w:rsid w:val="00161E97"/>
    <w:rsid w:val="0016234D"/>
    <w:rsid w:val="00167690"/>
    <w:rsid w:val="001702D8"/>
    <w:rsid w:val="00173620"/>
    <w:rsid w:val="001741DB"/>
    <w:rsid w:val="00181FDC"/>
    <w:rsid w:val="0018437D"/>
    <w:rsid w:val="001868ED"/>
    <w:rsid w:val="00192FAF"/>
    <w:rsid w:val="00196AEA"/>
    <w:rsid w:val="00197E9E"/>
    <w:rsid w:val="001A0019"/>
    <w:rsid w:val="001A0A1A"/>
    <w:rsid w:val="001A112A"/>
    <w:rsid w:val="001A3475"/>
    <w:rsid w:val="001A5C40"/>
    <w:rsid w:val="001A6144"/>
    <w:rsid w:val="001B11EC"/>
    <w:rsid w:val="001B1280"/>
    <w:rsid w:val="001B43EA"/>
    <w:rsid w:val="001B4DCD"/>
    <w:rsid w:val="001B624C"/>
    <w:rsid w:val="001B7496"/>
    <w:rsid w:val="001C1C8C"/>
    <w:rsid w:val="001C2D58"/>
    <w:rsid w:val="001C40A0"/>
    <w:rsid w:val="001C4A47"/>
    <w:rsid w:val="001C4A7A"/>
    <w:rsid w:val="001C58F5"/>
    <w:rsid w:val="001C70F5"/>
    <w:rsid w:val="001D000B"/>
    <w:rsid w:val="001D03E6"/>
    <w:rsid w:val="001D4918"/>
    <w:rsid w:val="001D5282"/>
    <w:rsid w:val="001D59D4"/>
    <w:rsid w:val="001D6859"/>
    <w:rsid w:val="001D70F0"/>
    <w:rsid w:val="001D7BC0"/>
    <w:rsid w:val="001D7EAE"/>
    <w:rsid w:val="001E3A87"/>
    <w:rsid w:val="001E7D48"/>
    <w:rsid w:val="001F3F73"/>
    <w:rsid w:val="001F5476"/>
    <w:rsid w:val="001F5A0C"/>
    <w:rsid w:val="001F5D12"/>
    <w:rsid w:val="001F6E5F"/>
    <w:rsid w:val="001F70DD"/>
    <w:rsid w:val="002036F0"/>
    <w:rsid w:val="002037D8"/>
    <w:rsid w:val="00204C44"/>
    <w:rsid w:val="00204FD2"/>
    <w:rsid w:val="0020522C"/>
    <w:rsid w:val="00206337"/>
    <w:rsid w:val="00207121"/>
    <w:rsid w:val="0021282D"/>
    <w:rsid w:val="002128B3"/>
    <w:rsid w:val="002138EB"/>
    <w:rsid w:val="00213EEE"/>
    <w:rsid w:val="002202E8"/>
    <w:rsid w:val="002202F6"/>
    <w:rsid w:val="002211F4"/>
    <w:rsid w:val="00224F5F"/>
    <w:rsid w:val="0022501D"/>
    <w:rsid w:val="00230021"/>
    <w:rsid w:val="002323D3"/>
    <w:rsid w:val="00233A6C"/>
    <w:rsid w:val="002357D2"/>
    <w:rsid w:val="00235957"/>
    <w:rsid w:val="0023645D"/>
    <w:rsid w:val="00237242"/>
    <w:rsid w:val="00240681"/>
    <w:rsid w:val="00242244"/>
    <w:rsid w:val="00244345"/>
    <w:rsid w:val="00244B4A"/>
    <w:rsid w:val="0024551B"/>
    <w:rsid w:val="00250CE6"/>
    <w:rsid w:val="00251D21"/>
    <w:rsid w:val="00251D3F"/>
    <w:rsid w:val="00256551"/>
    <w:rsid w:val="0026194D"/>
    <w:rsid w:val="0026197C"/>
    <w:rsid w:val="0027397E"/>
    <w:rsid w:val="00273B92"/>
    <w:rsid w:val="0028255B"/>
    <w:rsid w:val="00282D38"/>
    <w:rsid w:val="002835A7"/>
    <w:rsid w:val="00286954"/>
    <w:rsid w:val="0028787D"/>
    <w:rsid w:val="00291203"/>
    <w:rsid w:val="00293B56"/>
    <w:rsid w:val="00293B91"/>
    <w:rsid w:val="00294A22"/>
    <w:rsid w:val="002A0B71"/>
    <w:rsid w:val="002A1B48"/>
    <w:rsid w:val="002A1E42"/>
    <w:rsid w:val="002A78E6"/>
    <w:rsid w:val="002A7B78"/>
    <w:rsid w:val="002B0B6B"/>
    <w:rsid w:val="002B0CBE"/>
    <w:rsid w:val="002B2EF8"/>
    <w:rsid w:val="002C03B0"/>
    <w:rsid w:val="002C4246"/>
    <w:rsid w:val="002C51F5"/>
    <w:rsid w:val="002D134A"/>
    <w:rsid w:val="002D142F"/>
    <w:rsid w:val="002D15BD"/>
    <w:rsid w:val="002D1E53"/>
    <w:rsid w:val="002D214C"/>
    <w:rsid w:val="002D72B2"/>
    <w:rsid w:val="002D784D"/>
    <w:rsid w:val="002E382D"/>
    <w:rsid w:val="002E63E4"/>
    <w:rsid w:val="002E77D6"/>
    <w:rsid w:val="002F0E36"/>
    <w:rsid w:val="002F5A75"/>
    <w:rsid w:val="002F62A2"/>
    <w:rsid w:val="002F66FE"/>
    <w:rsid w:val="00301227"/>
    <w:rsid w:val="003063D4"/>
    <w:rsid w:val="0031152E"/>
    <w:rsid w:val="00314EDF"/>
    <w:rsid w:val="00317004"/>
    <w:rsid w:val="0032017A"/>
    <w:rsid w:val="00321129"/>
    <w:rsid w:val="003218C1"/>
    <w:rsid w:val="00321ABB"/>
    <w:rsid w:val="00322206"/>
    <w:rsid w:val="0032258F"/>
    <w:rsid w:val="00322771"/>
    <w:rsid w:val="00323474"/>
    <w:rsid w:val="003239F7"/>
    <w:rsid w:val="00324153"/>
    <w:rsid w:val="00325842"/>
    <w:rsid w:val="0032680E"/>
    <w:rsid w:val="003303F3"/>
    <w:rsid w:val="0033256C"/>
    <w:rsid w:val="003341CC"/>
    <w:rsid w:val="00334B73"/>
    <w:rsid w:val="00335EA8"/>
    <w:rsid w:val="003369FD"/>
    <w:rsid w:val="00342695"/>
    <w:rsid w:val="00343D63"/>
    <w:rsid w:val="003446B7"/>
    <w:rsid w:val="00344C54"/>
    <w:rsid w:val="00344C99"/>
    <w:rsid w:val="003454AE"/>
    <w:rsid w:val="0035004F"/>
    <w:rsid w:val="003515B3"/>
    <w:rsid w:val="00352388"/>
    <w:rsid w:val="00353EB8"/>
    <w:rsid w:val="00354BBD"/>
    <w:rsid w:val="0035578A"/>
    <w:rsid w:val="00357AB5"/>
    <w:rsid w:val="00357BB0"/>
    <w:rsid w:val="003615A9"/>
    <w:rsid w:val="00362216"/>
    <w:rsid w:val="00362B55"/>
    <w:rsid w:val="003634FE"/>
    <w:rsid w:val="00365F2D"/>
    <w:rsid w:val="00366DAF"/>
    <w:rsid w:val="00367088"/>
    <w:rsid w:val="00373BCD"/>
    <w:rsid w:val="00374118"/>
    <w:rsid w:val="00374580"/>
    <w:rsid w:val="0038038F"/>
    <w:rsid w:val="00381B20"/>
    <w:rsid w:val="00384A7A"/>
    <w:rsid w:val="00387200"/>
    <w:rsid w:val="003878A7"/>
    <w:rsid w:val="00387A89"/>
    <w:rsid w:val="003911E9"/>
    <w:rsid w:val="00391317"/>
    <w:rsid w:val="00391456"/>
    <w:rsid w:val="003956C0"/>
    <w:rsid w:val="003958E2"/>
    <w:rsid w:val="00395E4D"/>
    <w:rsid w:val="0039683F"/>
    <w:rsid w:val="003A0144"/>
    <w:rsid w:val="003A0B82"/>
    <w:rsid w:val="003A147C"/>
    <w:rsid w:val="003A263D"/>
    <w:rsid w:val="003A4C81"/>
    <w:rsid w:val="003A69C2"/>
    <w:rsid w:val="003A7AF0"/>
    <w:rsid w:val="003B1884"/>
    <w:rsid w:val="003B40E7"/>
    <w:rsid w:val="003B60E8"/>
    <w:rsid w:val="003B71BE"/>
    <w:rsid w:val="003B794E"/>
    <w:rsid w:val="003C2039"/>
    <w:rsid w:val="003D0353"/>
    <w:rsid w:val="003D067C"/>
    <w:rsid w:val="003D17B0"/>
    <w:rsid w:val="003D17FF"/>
    <w:rsid w:val="003D31E5"/>
    <w:rsid w:val="003D66E4"/>
    <w:rsid w:val="003D7FDA"/>
    <w:rsid w:val="003E09F8"/>
    <w:rsid w:val="003E4B2C"/>
    <w:rsid w:val="003E5022"/>
    <w:rsid w:val="003E67E1"/>
    <w:rsid w:val="003E7A26"/>
    <w:rsid w:val="003E7C77"/>
    <w:rsid w:val="003F3B28"/>
    <w:rsid w:val="003F3BA9"/>
    <w:rsid w:val="003F4235"/>
    <w:rsid w:val="003F4590"/>
    <w:rsid w:val="003F59DE"/>
    <w:rsid w:val="003F6534"/>
    <w:rsid w:val="00401D78"/>
    <w:rsid w:val="00403F19"/>
    <w:rsid w:val="004045BB"/>
    <w:rsid w:val="004050CF"/>
    <w:rsid w:val="004050FA"/>
    <w:rsid w:val="00406D00"/>
    <w:rsid w:val="0040712A"/>
    <w:rsid w:val="0040717C"/>
    <w:rsid w:val="00407AC1"/>
    <w:rsid w:val="00411356"/>
    <w:rsid w:val="00412E67"/>
    <w:rsid w:val="0041388D"/>
    <w:rsid w:val="00414E60"/>
    <w:rsid w:val="00415EFE"/>
    <w:rsid w:val="00420241"/>
    <w:rsid w:val="0042264E"/>
    <w:rsid w:val="0042333C"/>
    <w:rsid w:val="00430661"/>
    <w:rsid w:val="00432681"/>
    <w:rsid w:val="004351E3"/>
    <w:rsid w:val="00435DB5"/>
    <w:rsid w:val="004366A6"/>
    <w:rsid w:val="00436A7F"/>
    <w:rsid w:val="00441BDE"/>
    <w:rsid w:val="00442A02"/>
    <w:rsid w:val="00442FFC"/>
    <w:rsid w:val="00443017"/>
    <w:rsid w:val="0044491E"/>
    <w:rsid w:val="004470B2"/>
    <w:rsid w:val="004474D0"/>
    <w:rsid w:val="00450410"/>
    <w:rsid w:val="004505D6"/>
    <w:rsid w:val="0045378F"/>
    <w:rsid w:val="00455058"/>
    <w:rsid w:val="004564C6"/>
    <w:rsid w:val="004573F2"/>
    <w:rsid w:val="00460451"/>
    <w:rsid w:val="00460B87"/>
    <w:rsid w:val="004613A6"/>
    <w:rsid w:val="004629C3"/>
    <w:rsid w:val="00462F4A"/>
    <w:rsid w:val="0046441E"/>
    <w:rsid w:val="00464B95"/>
    <w:rsid w:val="00465207"/>
    <w:rsid w:val="00465D78"/>
    <w:rsid w:val="00471145"/>
    <w:rsid w:val="00480F19"/>
    <w:rsid w:val="00481E65"/>
    <w:rsid w:val="00482A85"/>
    <w:rsid w:val="00482CAB"/>
    <w:rsid w:val="00482FF7"/>
    <w:rsid w:val="00483A3E"/>
    <w:rsid w:val="00484159"/>
    <w:rsid w:val="00484511"/>
    <w:rsid w:val="00487523"/>
    <w:rsid w:val="0049079C"/>
    <w:rsid w:val="00491C56"/>
    <w:rsid w:val="00493441"/>
    <w:rsid w:val="004938E7"/>
    <w:rsid w:val="00493AF4"/>
    <w:rsid w:val="00493B1D"/>
    <w:rsid w:val="00493E8B"/>
    <w:rsid w:val="004A21EA"/>
    <w:rsid w:val="004A3226"/>
    <w:rsid w:val="004A4D22"/>
    <w:rsid w:val="004A572F"/>
    <w:rsid w:val="004A6E97"/>
    <w:rsid w:val="004B2409"/>
    <w:rsid w:val="004B2649"/>
    <w:rsid w:val="004B3F03"/>
    <w:rsid w:val="004B50CC"/>
    <w:rsid w:val="004C0E71"/>
    <w:rsid w:val="004C2477"/>
    <w:rsid w:val="004C3F04"/>
    <w:rsid w:val="004C57A7"/>
    <w:rsid w:val="004D1C33"/>
    <w:rsid w:val="004D216D"/>
    <w:rsid w:val="004D5983"/>
    <w:rsid w:val="004D7693"/>
    <w:rsid w:val="004E0377"/>
    <w:rsid w:val="004E094F"/>
    <w:rsid w:val="004E25B2"/>
    <w:rsid w:val="004E677D"/>
    <w:rsid w:val="004E6CAE"/>
    <w:rsid w:val="004F23A9"/>
    <w:rsid w:val="004F2CA1"/>
    <w:rsid w:val="004F762A"/>
    <w:rsid w:val="00501E43"/>
    <w:rsid w:val="0050318E"/>
    <w:rsid w:val="005058ED"/>
    <w:rsid w:val="00507307"/>
    <w:rsid w:val="0050734E"/>
    <w:rsid w:val="00515564"/>
    <w:rsid w:val="00521A1E"/>
    <w:rsid w:val="00524F5F"/>
    <w:rsid w:val="00526541"/>
    <w:rsid w:val="0053179F"/>
    <w:rsid w:val="00531BD2"/>
    <w:rsid w:val="005324DE"/>
    <w:rsid w:val="00532838"/>
    <w:rsid w:val="00533C2D"/>
    <w:rsid w:val="0053490B"/>
    <w:rsid w:val="00542141"/>
    <w:rsid w:val="005459CD"/>
    <w:rsid w:val="00546DD6"/>
    <w:rsid w:val="00550C91"/>
    <w:rsid w:val="00553711"/>
    <w:rsid w:val="005538E0"/>
    <w:rsid w:val="00553FED"/>
    <w:rsid w:val="0055716C"/>
    <w:rsid w:val="00557503"/>
    <w:rsid w:val="00561932"/>
    <w:rsid w:val="00562EE9"/>
    <w:rsid w:val="00563609"/>
    <w:rsid w:val="005638C1"/>
    <w:rsid w:val="00570136"/>
    <w:rsid w:val="00572778"/>
    <w:rsid w:val="005736D4"/>
    <w:rsid w:val="00574940"/>
    <w:rsid w:val="00574C11"/>
    <w:rsid w:val="00576E0F"/>
    <w:rsid w:val="005801F3"/>
    <w:rsid w:val="00584A2B"/>
    <w:rsid w:val="00584FDF"/>
    <w:rsid w:val="0058563F"/>
    <w:rsid w:val="005872EB"/>
    <w:rsid w:val="00591C99"/>
    <w:rsid w:val="00595702"/>
    <w:rsid w:val="005958AA"/>
    <w:rsid w:val="00596A4E"/>
    <w:rsid w:val="00597353"/>
    <w:rsid w:val="00597D15"/>
    <w:rsid w:val="005A3CDE"/>
    <w:rsid w:val="005A4067"/>
    <w:rsid w:val="005A5BB7"/>
    <w:rsid w:val="005B3EB8"/>
    <w:rsid w:val="005C0D32"/>
    <w:rsid w:val="005C1242"/>
    <w:rsid w:val="005C2369"/>
    <w:rsid w:val="005C2663"/>
    <w:rsid w:val="005C475A"/>
    <w:rsid w:val="005C4BB6"/>
    <w:rsid w:val="005C65AF"/>
    <w:rsid w:val="005C7B1F"/>
    <w:rsid w:val="005D11A3"/>
    <w:rsid w:val="005D6B66"/>
    <w:rsid w:val="005D700E"/>
    <w:rsid w:val="005E10A4"/>
    <w:rsid w:val="005E121F"/>
    <w:rsid w:val="005E17C2"/>
    <w:rsid w:val="005E1C17"/>
    <w:rsid w:val="005E304B"/>
    <w:rsid w:val="005E4A4C"/>
    <w:rsid w:val="005F1D58"/>
    <w:rsid w:val="005F3741"/>
    <w:rsid w:val="005F4A9E"/>
    <w:rsid w:val="005F4CCF"/>
    <w:rsid w:val="005F5BBB"/>
    <w:rsid w:val="005F6A14"/>
    <w:rsid w:val="005F6B0D"/>
    <w:rsid w:val="005F71EA"/>
    <w:rsid w:val="006019B0"/>
    <w:rsid w:val="00601A94"/>
    <w:rsid w:val="00604D18"/>
    <w:rsid w:val="0060705B"/>
    <w:rsid w:val="006145BC"/>
    <w:rsid w:val="00616B05"/>
    <w:rsid w:val="00617530"/>
    <w:rsid w:val="00620EE4"/>
    <w:rsid w:val="0062135D"/>
    <w:rsid w:val="00623833"/>
    <w:rsid w:val="006257E6"/>
    <w:rsid w:val="006311AA"/>
    <w:rsid w:val="00631336"/>
    <w:rsid w:val="006317B2"/>
    <w:rsid w:val="00635DDF"/>
    <w:rsid w:val="006363DA"/>
    <w:rsid w:val="00636C32"/>
    <w:rsid w:val="00637723"/>
    <w:rsid w:val="00637CF2"/>
    <w:rsid w:val="00640220"/>
    <w:rsid w:val="006461FF"/>
    <w:rsid w:val="0064645D"/>
    <w:rsid w:val="00646460"/>
    <w:rsid w:val="00647192"/>
    <w:rsid w:val="00655296"/>
    <w:rsid w:val="006558B5"/>
    <w:rsid w:val="006568B1"/>
    <w:rsid w:val="00661748"/>
    <w:rsid w:val="00662C18"/>
    <w:rsid w:val="006668B5"/>
    <w:rsid w:val="006671ED"/>
    <w:rsid w:val="006679B8"/>
    <w:rsid w:val="00667C3B"/>
    <w:rsid w:val="00670B4C"/>
    <w:rsid w:val="00671570"/>
    <w:rsid w:val="00671D51"/>
    <w:rsid w:val="00674D8E"/>
    <w:rsid w:val="00674FED"/>
    <w:rsid w:val="006802EB"/>
    <w:rsid w:val="006835E2"/>
    <w:rsid w:val="00686733"/>
    <w:rsid w:val="00686BB1"/>
    <w:rsid w:val="00686F18"/>
    <w:rsid w:val="00694967"/>
    <w:rsid w:val="006949A8"/>
    <w:rsid w:val="00695CB6"/>
    <w:rsid w:val="00696BCB"/>
    <w:rsid w:val="0069742B"/>
    <w:rsid w:val="006A0B7C"/>
    <w:rsid w:val="006A1157"/>
    <w:rsid w:val="006A5AA6"/>
    <w:rsid w:val="006A6C49"/>
    <w:rsid w:val="006A6DBD"/>
    <w:rsid w:val="006B13D0"/>
    <w:rsid w:val="006B349B"/>
    <w:rsid w:val="006B45AE"/>
    <w:rsid w:val="006B498F"/>
    <w:rsid w:val="006B78CB"/>
    <w:rsid w:val="006C0988"/>
    <w:rsid w:val="006C34BF"/>
    <w:rsid w:val="006C4D0E"/>
    <w:rsid w:val="006D0669"/>
    <w:rsid w:val="006D2615"/>
    <w:rsid w:val="006D5D56"/>
    <w:rsid w:val="006D771D"/>
    <w:rsid w:val="006E1C6B"/>
    <w:rsid w:val="006E42B5"/>
    <w:rsid w:val="006E4CE7"/>
    <w:rsid w:val="006E6BB4"/>
    <w:rsid w:val="006E6DF8"/>
    <w:rsid w:val="006E7CDA"/>
    <w:rsid w:val="006F0A22"/>
    <w:rsid w:val="006F2952"/>
    <w:rsid w:val="006F29CD"/>
    <w:rsid w:val="006F29E2"/>
    <w:rsid w:val="00700DF2"/>
    <w:rsid w:val="0070637F"/>
    <w:rsid w:val="0071042F"/>
    <w:rsid w:val="00713393"/>
    <w:rsid w:val="007158EB"/>
    <w:rsid w:val="00717BDE"/>
    <w:rsid w:val="00720448"/>
    <w:rsid w:val="00720825"/>
    <w:rsid w:val="007210AC"/>
    <w:rsid w:val="007212EA"/>
    <w:rsid w:val="0072449C"/>
    <w:rsid w:val="00725DCD"/>
    <w:rsid w:val="007261CB"/>
    <w:rsid w:val="00727B16"/>
    <w:rsid w:val="00734378"/>
    <w:rsid w:val="00734659"/>
    <w:rsid w:val="007355DC"/>
    <w:rsid w:val="0073775F"/>
    <w:rsid w:val="00737B76"/>
    <w:rsid w:val="00742227"/>
    <w:rsid w:val="00742908"/>
    <w:rsid w:val="007437A0"/>
    <w:rsid w:val="0074591D"/>
    <w:rsid w:val="007459BE"/>
    <w:rsid w:val="00745B7B"/>
    <w:rsid w:val="00746A5F"/>
    <w:rsid w:val="007501F0"/>
    <w:rsid w:val="00750CB9"/>
    <w:rsid w:val="00750E6A"/>
    <w:rsid w:val="00751AE7"/>
    <w:rsid w:val="007532B6"/>
    <w:rsid w:val="007568C3"/>
    <w:rsid w:val="00761BBF"/>
    <w:rsid w:val="007620AA"/>
    <w:rsid w:val="007646F7"/>
    <w:rsid w:val="00765673"/>
    <w:rsid w:val="00766AC4"/>
    <w:rsid w:val="00766D09"/>
    <w:rsid w:val="00766F20"/>
    <w:rsid w:val="00767C68"/>
    <w:rsid w:val="00767E96"/>
    <w:rsid w:val="00770052"/>
    <w:rsid w:val="0077124C"/>
    <w:rsid w:val="00771A10"/>
    <w:rsid w:val="00774AD9"/>
    <w:rsid w:val="00774D53"/>
    <w:rsid w:val="00775937"/>
    <w:rsid w:val="00777159"/>
    <w:rsid w:val="00780A72"/>
    <w:rsid w:val="00780BC1"/>
    <w:rsid w:val="00780DDA"/>
    <w:rsid w:val="007819F3"/>
    <w:rsid w:val="00782836"/>
    <w:rsid w:val="00782D9D"/>
    <w:rsid w:val="00783C26"/>
    <w:rsid w:val="00783F6F"/>
    <w:rsid w:val="007840CC"/>
    <w:rsid w:val="00785899"/>
    <w:rsid w:val="00785A66"/>
    <w:rsid w:val="007869D9"/>
    <w:rsid w:val="00786F48"/>
    <w:rsid w:val="00790E4F"/>
    <w:rsid w:val="007918AD"/>
    <w:rsid w:val="0079380D"/>
    <w:rsid w:val="0079759F"/>
    <w:rsid w:val="007A13C1"/>
    <w:rsid w:val="007A2352"/>
    <w:rsid w:val="007A3D3E"/>
    <w:rsid w:val="007A3EE3"/>
    <w:rsid w:val="007A454B"/>
    <w:rsid w:val="007A55FD"/>
    <w:rsid w:val="007A5ABC"/>
    <w:rsid w:val="007A63A7"/>
    <w:rsid w:val="007A6AC7"/>
    <w:rsid w:val="007A7828"/>
    <w:rsid w:val="007A7AB7"/>
    <w:rsid w:val="007B0960"/>
    <w:rsid w:val="007B13C7"/>
    <w:rsid w:val="007B4165"/>
    <w:rsid w:val="007B5638"/>
    <w:rsid w:val="007B5CAD"/>
    <w:rsid w:val="007B6C53"/>
    <w:rsid w:val="007C14D1"/>
    <w:rsid w:val="007C39A7"/>
    <w:rsid w:val="007C7741"/>
    <w:rsid w:val="007D3C45"/>
    <w:rsid w:val="007D56D5"/>
    <w:rsid w:val="007D58C5"/>
    <w:rsid w:val="007D6175"/>
    <w:rsid w:val="007D7E8D"/>
    <w:rsid w:val="007E19A2"/>
    <w:rsid w:val="007E1B91"/>
    <w:rsid w:val="007E523C"/>
    <w:rsid w:val="007E725A"/>
    <w:rsid w:val="007E78E4"/>
    <w:rsid w:val="007F1E38"/>
    <w:rsid w:val="007F5139"/>
    <w:rsid w:val="007F5E57"/>
    <w:rsid w:val="007F6BA3"/>
    <w:rsid w:val="00802512"/>
    <w:rsid w:val="00803787"/>
    <w:rsid w:val="00804F0D"/>
    <w:rsid w:val="008064AC"/>
    <w:rsid w:val="00806DFE"/>
    <w:rsid w:val="00807E02"/>
    <w:rsid w:val="00811433"/>
    <w:rsid w:val="00811A07"/>
    <w:rsid w:val="00811A9D"/>
    <w:rsid w:val="00812177"/>
    <w:rsid w:val="00814224"/>
    <w:rsid w:val="00814250"/>
    <w:rsid w:val="00814516"/>
    <w:rsid w:val="008208BA"/>
    <w:rsid w:val="0082149E"/>
    <w:rsid w:val="0082159D"/>
    <w:rsid w:val="008233CE"/>
    <w:rsid w:val="00836F0F"/>
    <w:rsid w:val="008374AD"/>
    <w:rsid w:val="00842B6F"/>
    <w:rsid w:val="0084641C"/>
    <w:rsid w:val="008511FE"/>
    <w:rsid w:val="00851C7C"/>
    <w:rsid w:val="00854807"/>
    <w:rsid w:val="00855328"/>
    <w:rsid w:val="00855BEE"/>
    <w:rsid w:val="00862274"/>
    <w:rsid w:val="00863D2A"/>
    <w:rsid w:val="00865B5C"/>
    <w:rsid w:val="00865D0B"/>
    <w:rsid w:val="00866232"/>
    <w:rsid w:val="008664CA"/>
    <w:rsid w:val="00866C85"/>
    <w:rsid w:val="0086789D"/>
    <w:rsid w:val="00870C04"/>
    <w:rsid w:val="00870E41"/>
    <w:rsid w:val="0087262A"/>
    <w:rsid w:val="00873DE7"/>
    <w:rsid w:val="00876A59"/>
    <w:rsid w:val="0088111E"/>
    <w:rsid w:val="0088118F"/>
    <w:rsid w:val="00881961"/>
    <w:rsid w:val="008820EF"/>
    <w:rsid w:val="00884EE0"/>
    <w:rsid w:val="00885104"/>
    <w:rsid w:val="00885C27"/>
    <w:rsid w:val="00885E40"/>
    <w:rsid w:val="00885F59"/>
    <w:rsid w:val="008867C6"/>
    <w:rsid w:val="00890E4A"/>
    <w:rsid w:val="00891567"/>
    <w:rsid w:val="00893E6B"/>
    <w:rsid w:val="00894CCB"/>
    <w:rsid w:val="00895CDF"/>
    <w:rsid w:val="00896091"/>
    <w:rsid w:val="008961D3"/>
    <w:rsid w:val="00896BD1"/>
    <w:rsid w:val="008A0DF2"/>
    <w:rsid w:val="008A1BA1"/>
    <w:rsid w:val="008A3159"/>
    <w:rsid w:val="008A356C"/>
    <w:rsid w:val="008A3C84"/>
    <w:rsid w:val="008A58C6"/>
    <w:rsid w:val="008A6B71"/>
    <w:rsid w:val="008B1AE8"/>
    <w:rsid w:val="008B32AA"/>
    <w:rsid w:val="008B375B"/>
    <w:rsid w:val="008B412C"/>
    <w:rsid w:val="008B5181"/>
    <w:rsid w:val="008B65B0"/>
    <w:rsid w:val="008C00E9"/>
    <w:rsid w:val="008C0A51"/>
    <w:rsid w:val="008C1EF3"/>
    <w:rsid w:val="008C4B14"/>
    <w:rsid w:val="008C4E90"/>
    <w:rsid w:val="008C5F12"/>
    <w:rsid w:val="008C6D74"/>
    <w:rsid w:val="008D08DD"/>
    <w:rsid w:val="008D24F4"/>
    <w:rsid w:val="008D368C"/>
    <w:rsid w:val="008D69AA"/>
    <w:rsid w:val="008D737C"/>
    <w:rsid w:val="008E2B9F"/>
    <w:rsid w:val="008E4A8A"/>
    <w:rsid w:val="008E74DC"/>
    <w:rsid w:val="008F0207"/>
    <w:rsid w:val="008F04E6"/>
    <w:rsid w:val="008F2F42"/>
    <w:rsid w:val="008F3531"/>
    <w:rsid w:val="008F3932"/>
    <w:rsid w:val="008F3E05"/>
    <w:rsid w:val="008F6BDD"/>
    <w:rsid w:val="008F6EDA"/>
    <w:rsid w:val="009004EE"/>
    <w:rsid w:val="00901BCD"/>
    <w:rsid w:val="0090235E"/>
    <w:rsid w:val="0090270E"/>
    <w:rsid w:val="00902CEB"/>
    <w:rsid w:val="00903477"/>
    <w:rsid w:val="009067B5"/>
    <w:rsid w:val="00906D25"/>
    <w:rsid w:val="009202C6"/>
    <w:rsid w:val="00920EFD"/>
    <w:rsid w:val="00922906"/>
    <w:rsid w:val="00922B9D"/>
    <w:rsid w:val="009239D6"/>
    <w:rsid w:val="009240C0"/>
    <w:rsid w:val="00932A49"/>
    <w:rsid w:val="00936BDB"/>
    <w:rsid w:val="009372C7"/>
    <w:rsid w:val="0094208B"/>
    <w:rsid w:val="009438E7"/>
    <w:rsid w:val="009534EC"/>
    <w:rsid w:val="009565F8"/>
    <w:rsid w:val="009567E1"/>
    <w:rsid w:val="00960F82"/>
    <w:rsid w:val="009610CD"/>
    <w:rsid w:val="00962AD2"/>
    <w:rsid w:val="00964CB7"/>
    <w:rsid w:val="0096569A"/>
    <w:rsid w:val="00970DDA"/>
    <w:rsid w:val="00972D8E"/>
    <w:rsid w:val="009735BE"/>
    <w:rsid w:val="00973687"/>
    <w:rsid w:val="00981717"/>
    <w:rsid w:val="009833BC"/>
    <w:rsid w:val="0098521E"/>
    <w:rsid w:val="00985871"/>
    <w:rsid w:val="009859F0"/>
    <w:rsid w:val="00985F69"/>
    <w:rsid w:val="00991E66"/>
    <w:rsid w:val="0099318B"/>
    <w:rsid w:val="009936F8"/>
    <w:rsid w:val="009945AD"/>
    <w:rsid w:val="009A204E"/>
    <w:rsid w:val="009A3217"/>
    <w:rsid w:val="009A38FA"/>
    <w:rsid w:val="009A4A62"/>
    <w:rsid w:val="009B0180"/>
    <w:rsid w:val="009B49E9"/>
    <w:rsid w:val="009C3E19"/>
    <w:rsid w:val="009C6F66"/>
    <w:rsid w:val="009C7AD2"/>
    <w:rsid w:val="009D0EB8"/>
    <w:rsid w:val="009D3236"/>
    <w:rsid w:val="009D3B03"/>
    <w:rsid w:val="009D558A"/>
    <w:rsid w:val="009E315F"/>
    <w:rsid w:val="009E7D17"/>
    <w:rsid w:val="009F0E9C"/>
    <w:rsid w:val="009F0F1E"/>
    <w:rsid w:val="009F1005"/>
    <w:rsid w:val="009F3BE3"/>
    <w:rsid w:val="009F444F"/>
    <w:rsid w:val="009F4643"/>
    <w:rsid w:val="009F4995"/>
    <w:rsid w:val="009F4FC7"/>
    <w:rsid w:val="009F5A26"/>
    <w:rsid w:val="009F6AB3"/>
    <w:rsid w:val="009F7499"/>
    <w:rsid w:val="00A000B8"/>
    <w:rsid w:val="00A0091B"/>
    <w:rsid w:val="00A02246"/>
    <w:rsid w:val="00A031B5"/>
    <w:rsid w:val="00A03FAD"/>
    <w:rsid w:val="00A05D55"/>
    <w:rsid w:val="00A06D2B"/>
    <w:rsid w:val="00A071B8"/>
    <w:rsid w:val="00A0785A"/>
    <w:rsid w:val="00A125B4"/>
    <w:rsid w:val="00A13484"/>
    <w:rsid w:val="00A16537"/>
    <w:rsid w:val="00A16C71"/>
    <w:rsid w:val="00A21EB7"/>
    <w:rsid w:val="00A22787"/>
    <w:rsid w:val="00A2321C"/>
    <w:rsid w:val="00A23802"/>
    <w:rsid w:val="00A25C42"/>
    <w:rsid w:val="00A26101"/>
    <w:rsid w:val="00A31A47"/>
    <w:rsid w:val="00A326E1"/>
    <w:rsid w:val="00A34C43"/>
    <w:rsid w:val="00A37714"/>
    <w:rsid w:val="00A403AA"/>
    <w:rsid w:val="00A40D38"/>
    <w:rsid w:val="00A416AC"/>
    <w:rsid w:val="00A41D44"/>
    <w:rsid w:val="00A4214A"/>
    <w:rsid w:val="00A42F9E"/>
    <w:rsid w:val="00A45711"/>
    <w:rsid w:val="00A461A2"/>
    <w:rsid w:val="00A50D1C"/>
    <w:rsid w:val="00A5318B"/>
    <w:rsid w:val="00A53BE7"/>
    <w:rsid w:val="00A55952"/>
    <w:rsid w:val="00A55D12"/>
    <w:rsid w:val="00A5618C"/>
    <w:rsid w:val="00A56A4E"/>
    <w:rsid w:val="00A60050"/>
    <w:rsid w:val="00A603F3"/>
    <w:rsid w:val="00A62390"/>
    <w:rsid w:val="00A62447"/>
    <w:rsid w:val="00A63410"/>
    <w:rsid w:val="00A636B9"/>
    <w:rsid w:val="00A659B2"/>
    <w:rsid w:val="00A65D9D"/>
    <w:rsid w:val="00A6615C"/>
    <w:rsid w:val="00A66283"/>
    <w:rsid w:val="00A6654C"/>
    <w:rsid w:val="00A669A6"/>
    <w:rsid w:val="00A74C6D"/>
    <w:rsid w:val="00A75221"/>
    <w:rsid w:val="00A75AC2"/>
    <w:rsid w:val="00A77540"/>
    <w:rsid w:val="00A81A52"/>
    <w:rsid w:val="00A840EE"/>
    <w:rsid w:val="00A85FE3"/>
    <w:rsid w:val="00A91683"/>
    <w:rsid w:val="00A93624"/>
    <w:rsid w:val="00A94918"/>
    <w:rsid w:val="00A95B0D"/>
    <w:rsid w:val="00A95E8E"/>
    <w:rsid w:val="00A97B74"/>
    <w:rsid w:val="00AA17E4"/>
    <w:rsid w:val="00AA3151"/>
    <w:rsid w:val="00AA5D7F"/>
    <w:rsid w:val="00AA6ABF"/>
    <w:rsid w:val="00AA74A2"/>
    <w:rsid w:val="00AA7C23"/>
    <w:rsid w:val="00AB08A7"/>
    <w:rsid w:val="00AB1B65"/>
    <w:rsid w:val="00AB622A"/>
    <w:rsid w:val="00AB752D"/>
    <w:rsid w:val="00AC39DE"/>
    <w:rsid w:val="00AC489F"/>
    <w:rsid w:val="00AC6C3F"/>
    <w:rsid w:val="00AC6E9D"/>
    <w:rsid w:val="00AD04BB"/>
    <w:rsid w:val="00AD0606"/>
    <w:rsid w:val="00AD1DA3"/>
    <w:rsid w:val="00AD20CA"/>
    <w:rsid w:val="00AD40AD"/>
    <w:rsid w:val="00AE132E"/>
    <w:rsid w:val="00AE2641"/>
    <w:rsid w:val="00AE637F"/>
    <w:rsid w:val="00AF09C7"/>
    <w:rsid w:val="00AF0BA2"/>
    <w:rsid w:val="00AF185F"/>
    <w:rsid w:val="00AF1B66"/>
    <w:rsid w:val="00AF290D"/>
    <w:rsid w:val="00AF2D93"/>
    <w:rsid w:val="00AF4025"/>
    <w:rsid w:val="00AF43C0"/>
    <w:rsid w:val="00AF6028"/>
    <w:rsid w:val="00AF714A"/>
    <w:rsid w:val="00B003C7"/>
    <w:rsid w:val="00B01C45"/>
    <w:rsid w:val="00B022BB"/>
    <w:rsid w:val="00B036F0"/>
    <w:rsid w:val="00B0658A"/>
    <w:rsid w:val="00B069D9"/>
    <w:rsid w:val="00B07944"/>
    <w:rsid w:val="00B1179B"/>
    <w:rsid w:val="00B11DE0"/>
    <w:rsid w:val="00B1231E"/>
    <w:rsid w:val="00B17B1B"/>
    <w:rsid w:val="00B25583"/>
    <w:rsid w:val="00B269CE"/>
    <w:rsid w:val="00B26B50"/>
    <w:rsid w:val="00B3258E"/>
    <w:rsid w:val="00B33950"/>
    <w:rsid w:val="00B33C78"/>
    <w:rsid w:val="00B408C5"/>
    <w:rsid w:val="00B41C05"/>
    <w:rsid w:val="00B4278E"/>
    <w:rsid w:val="00B43036"/>
    <w:rsid w:val="00B44EC8"/>
    <w:rsid w:val="00B461AE"/>
    <w:rsid w:val="00B5035D"/>
    <w:rsid w:val="00B515BB"/>
    <w:rsid w:val="00B516A7"/>
    <w:rsid w:val="00B525EC"/>
    <w:rsid w:val="00B5383A"/>
    <w:rsid w:val="00B562CB"/>
    <w:rsid w:val="00B6238B"/>
    <w:rsid w:val="00B62D10"/>
    <w:rsid w:val="00B64B95"/>
    <w:rsid w:val="00B71C59"/>
    <w:rsid w:val="00B739B6"/>
    <w:rsid w:val="00B74990"/>
    <w:rsid w:val="00B74A87"/>
    <w:rsid w:val="00B76049"/>
    <w:rsid w:val="00B761A2"/>
    <w:rsid w:val="00B7760B"/>
    <w:rsid w:val="00B820D8"/>
    <w:rsid w:val="00B848CD"/>
    <w:rsid w:val="00B84EA8"/>
    <w:rsid w:val="00B9120F"/>
    <w:rsid w:val="00B92B2A"/>
    <w:rsid w:val="00B94371"/>
    <w:rsid w:val="00B946CF"/>
    <w:rsid w:val="00B95A2F"/>
    <w:rsid w:val="00B973E5"/>
    <w:rsid w:val="00BA4F12"/>
    <w:rsid w:val="00BA5010"/>
    <w:rsid w:val="00BA60FD"/>
    <w:rsid w:val="00BA7F3C"/>
    <w:rsid w:val="00BB01CD"/>
    <w:rsid w:val="00BB430E"/>
    <w:rsid w:val="00BB597D"/>
    <w:rsid w:val="00BC2B74"/>
    <w:rsid w:val="00BC45CF"/>
    <w:rsid w:val="00BC5EC5"/>
    <w:rsid w:val="00BD031D"/>
    <w:rsid w:val="00BD07AF"/>
    <w:rsid w:val="00BD0C19"/>
    <w:rsid w:val="00BD2FA7"/>
    <w:rsid w:val="00BD3139"/>
    <w:rsid w:val="00BD4EA9"/>
    <w:rsid w:val="00BD4FA7"/>
    <w:rsid w:val="00BD55B8"/>
    <w:rsid w:val="00BD6032"/>
    <w:rsid w:val="00BD79F8"/>
    <w:rsid w:val="00BE0715"/>
    <w:rsid w:val="00BE3A6A"/>
    <w:rsid w:val="00BF119D"/>
    <w:rsid w:val="00BF1BB2"/>
    <w:rsid w:val="00BF5BE9"/>
    <w:rsid w:val="00BF73F7"/>
    <w:rsid w:val="00C019BE"/>
    <w:rsid w:val="00C03547"/>
    <w:rsid w:val="00C05FE1"/>
    <w:rsid w:val="00C10DEF"/>
    <w:rsid w:val="00C120AF"/>
    <w:rsid w:val="00C125D8"/>
    <w:rsid w:val="00C13F92"/>
    <w:rsid w:val="00C14352"/>
    <w:rsid w:val="00C15913"/>
    <w:rsid w:val="00C16042"/>
    <w:rsid w:val="00C16E88"/>
    <w:rsid w:val="00C16FDC"/>
    <w:rsid w:val="00C17BF2"/>
    <w:rsid w:val="00C216E5"/>
    <w:rsid w:val="00C23695"/>
    <w:rsid w:val="00C24490"/>
    <w:rsid w:val="00C25F76"/>
    <w:rsid w:val="00C32F72"/>
    <w:rsid w:val="00C34257"/>
    <w:rsid w:val="00C34D9B"/>
    <w:rsid w:val="00C352ED"/>
    <w:rsid w:val="00C4004C"/>
    <w:rsid w:val="00C4248D"/>
    <w:rsid w:val="00C456C5"/>
    <w:rsid w:val="00C45E14"/>
    <w:rsid w:val="00C45EF2"/>
    <w:rsid w:val="00C45FA6"/>
    <w:rsid w:val="00C548A7"/>
    <w:rsid w:val="00C555A5"/>
    <w:rsid w:val="00C568EB"/>
    <w:rsid w:val="00C56D16"/>
    <w:rsid w:val="00C577FF"/>
    <w:rsid w:val="00C62FD9"/>
    <w:rsid w:val="00C70A85"/>
    <w:rsid w:val="00C71E19"/>
    <w:rsid w:val="00C723B0"/>
    <w:rsid w:val="00C73B6A"/>
    <w:rsid w:val="00C77818"/>
    <w:rsid w:val="00C77B22"/>
    <w:rsid w:val="00C80337"/>
    <w:rsid w:val="00C8040A"/>
    <w:rsid w:val="00C804D8"/>
    <w:rsid w:val="00C8113D"/>
    <w:rsid w:val="00C84A1C"/>
    <w:rsid w:val="00C84B88"/>
    <w:rsid w:val="00C93B73"/>
    <w:rsid w:val="00C94BEF"/>
    <w:rsid w:val="00C955D8"/>
    <w:rsid w:val="00CA07F2"/>
    <w:rsid w:val="00CA1E2B"/>
    <w:rsid w:val="00CA30A2"/>
    <w:rsid w:val="00CA4B13"/>
    <w:rsid w:val="00CA4D94"/>
    <w:rsid w:val="00CB48A3"/>
    <w:rsid w:val="00CB5508"/>
    <w:rsid w:val="00CB5E7C"/>
    <w:rsid w:val="00CC5C00"/>
    <w:rsid w:val="00CC7606"/>
    <w:rsid w:val="00CC7C79"/>
    <w:rsid w:val="00CD03B6"/>
    <w:rsid w:val="00CD3446"/>
    <w:rsid w:val="00CD45B2"/>
    <w:rsid w:val="00CD4981"/>
    <w:rsid w:val="00CD4E19"/>
    <w:rsid w:val="00CD636B"/>
    <w:rsid w:val="00CD6383"/>
    <w:rsid w:val="00CD6401"/>
    <w:rsid w:val="00CE098F"/>
    <w:rsid w:val="00CE0D61"/>
    <w:rsid w:val="00CE2076"/>
    <w:rsid w:val="00CE47D6"/>
    <w:rsid w:val="00CE5B20"/>
    <w:rsid w:val="00CE76D5"/>
    <w:rsid w:val="00CF2580"/>
    <w:rsid w:val="00CF3927"/>
    <w:rsid w:val="00CF5668"/>
    <w:rsid w:val="00CF66E2"/>
    <w:rsid w:val="00CF688E"/>
    <w:rsid w:val="00CF6EA5"/>
    <w:rsid w:val="00D0130E"/>
    <w:rsid w:val="00D027C2"/>
    <w:rsid w:val="00D035FA"/>
    <w:rsid w:val="00D03C89"/>
    <w:rsid w:val="00D0449E"/>
    <w:rsid w:val="00D122A1"/>
    <w:rsid w:val="00D12D6D"/>
    <w:rsid w:val="00D13022"/>
    <w:rsid w:val="00D135E9"/>
    <w:rsid w:val="00D13606"/>
    <w:rsid w:val="00D13720"/>
    <w:rsid w:val="00D13C41"/>
    <w:rsid w:val="00D15F9D"/>
    <w:rsid w:val="00D162EE"/>
    <w:rsid w:val="00D16500"/>
    <w:rsid w:val="00D17A99"/>
    <w:rsid w:val="00D20292"/>
    <w:rsid w:val="00D215F3"/>
    <w:rsid w:val="00D22575"/>
    <w:rsid w:val="00D229BD"/>
    <w:rsid w:val="00D2522E"/>
    <w:rsid w:val="00D26296"/>
    <w:rsid w:val="00D27DA1"/>
    <w:rsid w:val="00D30C18"/>
    <w:rsid w:val="00D33F3A"/>
    <w:rsid w:val="00D34348"/>
    <w:rsid w:val="00D3437B"/>
    <w:rsid w:val="00D3781C"/>
    <w:rsid w:val="00D405CB"/>
    <w:rsid w:val="00D44508"/>
    <w:rsid w:val="00D44594"/>
    <w:rsid w:val="00D4587E"/>
    <w:rsid w:val="00D50DE9"/>
    <w:rsid w:val="00D52A60"/>
    <w:rsid w:val="00D52C5E"/>
    <w:rsid w:val="00D5358B"/>
    <w:rsid w:val="00D53BA8"/>
    <w:rsid w:val="00D53DFB"/>
    <w:rsid w:val="00D549AD"/>
    <w:rsid w:val="00D54E21"/>
    <w:rsid w:val="00D560D9"/>
    <w:rsid w:val="00D603C3"/>
    <w:rsid w:val="00D6326C"/>
    <w:rsid w:val="00D64F54"/>
    <w:rsid w:val="00D65F77"/>
    <w:rsid w:val="00D665F2"/>
    <w:rsid w:val="00D678EE"/>
    <w:rsid w:val="00D72C8E"/>
    <w:rsid w:val="00D75C8B"/>
    <w:rsid w:val="00D77486"/>
    <w:rsid w:val="00D819F5"/>
    <w:rsid w:val="00D82C7E"/>
    <w:rsid w:val="00D87D86"/>
    <w:rsid w:val="00D91428"/>
    <w:rsid w:val="00D94C5F"/>
    <w:rsid w:val="00D964DA"/>
    <w:rsid w:val="00D96B69"/>
    <w:rsid w:val="00D97C86"/>
    <w:rsid w:val="00DA2DD1"/>
    <w:rsid w:val="00DA4CCF"/>
    <w:rsid w:val="00DA4EA4"/>
    <w:rsid w:val="00DA6F8F"/>
    <w:rsid w:val="00DB06FD"/>
    <w:rsid w:val="00DB2219"/>
    <w:rsid w:val="00DB27E3"/>
    <w:rsid w:val="00DB4A0E"/>
    <w:rsid w:val="00DB6E6F"/>
    <w:rsid w:val="00DC0340"/>
    <w:rsid w:val="00DC137D"/>
    <w:rsid w:val="00DC22F7"/>
    <w:rsid w:val="00DC2633"/>
    <w:rsid w:val="00DC3740"/>
    <w:rsid w:val="00DC3FBD"/>
    <w:rsid w:val="00DC42AC"/>
    <w:rsid w:val="00DC4F5C"/>
    <w:rsid w:val="00DC5874"/>
    <w:rsid w:val="00DC765A"/>
    <w:rsid w:val="00DD613B"/>
    <w:rsid w:val="00DD62BE"/>
    <w:rsid w:val="00DE0863"/>
    <w:rsid w:val="00DE0A1F"/>
    <w:rsid w:val="00DE2B1D"/>
    <w:rsid w:val="00DE2DE7"/>
    <w:rsid w:val="00DE33AD"/>
    <w:rsid w:val="00DE4E7F"/>
    <w:rsid w:val="00DE63ED"/>
    <w:rsid w:val="00DE750A"/>
    <w:rsid w:val="00DE76BC"/>
    <w:rsid w:val="00DF148D"/>
    <w:rsid w:val="00DF1712"/>
    <w:rsid w:val="00DF4C74"/>
    <w:rsid w:val="00DF6B92"/>
    <w:rsid w:val="00DF75FE"/>
    <w:rsid w:val="00E019EC"/>
    <w:rsid w:val="00E02FF4"/>
    <w:rsid w:val="00E030EF"/>
    <w:rsid w:val="00E05B61"/>
    <w:rsid w:val="00E062A1"/>
    <w:rsid w:val="00E132B7"/>
    <w:rsid w:val="00E138B5"/>
    <w:rsid w:val="00E14062"/>
    <w:rsid w:val="00E162F1"/>
    <w:rsid w:val="00E17609"/>
    <w:rsid w:val="00E17645"/>
    <w:rsid w:val="00E2202B"/>
    <w:rsid w:val="00E229E7"/>
    <w:rsid w:val="00E2313B"/>
    <w:rsid w:val="00E241F9"/>
    <w:rsid w:val="00E24891"/>
    <w:rsid w:val="00E2709B"/>
    <w:rsid w:val="00E314E5"/>
    <w:rsid w:val="00E31D7E"/>
    <w:rsid w:val="00E32422"/>
    <w:rsid w:val="00E32CCB"/>
    <w:rsid w:val="00E3493C"/>
    <w:rsid w:val="00E36217"/>
    <w:rsid w:val="00E37AD9"/>
    <w:rsid w:val="00E4173F"/>
    <w:rsid w:val="00E41DBB"/>
    <w:rsid w:val="00E4277A"/>
    <w:rsid w:val="00E42FF6"/>
    <w:rsid w:val="00E446CF"/>
    <w:rsid w:val="00E45D52"/>
    <w:rsid w:val="00E46E13"/>
    <w:rsid w:val="00E476CD"/>
    <w:rsid w:val="00E47779"/>
    <w:rsid w:val="00E50A22"/>
    <w:rsid w:val="00E51A2D"/>
    <w:rsid w:val="00E561EA"/>
    <w:rsid w:val="00E56D49"/>
    <w:rsid w:val="00E57678"/>
    <w:rsid w:val="00E579E4"/>
    <w:rsid w:val="00E61E86"/>
    <w:rsid w:val="00E62AAD"/>
    <w:rsid w:val="00E63BF9"/>
    <w:rsid w:val="00E662F4"/>
    <w:rsid w:val="00E66586"/>
    <w:rsid w:val="00E66603"/>
    <w:rsid w:val="00E67C00"/>
    <w:rsid w:val="00E70CA8"/>
    <w:rsid w:val="00E70E71"/>
    <w:rsid w:val="00E73264"/>
    <w:rsid w:val="00E81A33"/>
    <w:rsid w:val="00E81AF7"/>
    <w:rsid w:val="00E81DA9"/>
    <w:rsid w:val="00E826F9"/>
    <w:rsid w:val="00E84CAF"/>
    <w:rsid w:val="00E85D74"/>
    <w:rsid w:val="00E85EFF"/>
    <w:rsid w:val="00E86E1F"/>
    <w:rsid w:val="00E86FD1"/>
    <w:rsid w:val="00E90BDF"/>
    <w:rsid w:val="00E91888"/>
    <w:rsid w:val="00E92CE5"/>
    <w:rsid w:val="00E946BF"/>
    <w:rsid w:val="00E9612F"/>
    <w:rsid w:val="00E970AF"/>
    <w:rsid w:val="00EA3C3D"/>
    <w:rsid w:val="00EA52F2"/>
    <w:rsid w:val="00EA55C5"/>
    <w:rsid w:val="00EA56BC"/>
    <w:rsid w:val="00EA5F45"/>
    <w:rsid w:val="00EB037A"/>
    <w:rsid w:val="00EC2EBB"/>
    <w:rsid w:val="00ED2A9B"/>
    <w:rsid w:val="00ED5FA6"/>
    <w:rsid w:val="00EE08F6"/>
    <w:rsid w:val="00EE2585"/>
    <w:rsid w:val="00EE25F7"/>
    <w:rsid w:val="00EE2C14"/>
    <w:rsid w:val="00EE2ECB"/>
    <w:rsid w:val="00EE3502"/>
    <w:rsid w:val="00EE4BC1"/>
    <w:rsid w:val="00EE6ED7"/>
    <w:rsid w:val="00EF052B"/>
    <w:rsid w:val="00EF0C8A"/>
    <w:rsid w:val="00EF1D9E"/>
    <w:rsid w:val="00EF39C2"/>
    <w:rsid w:val="00F03CE1"/>
    <w:rsid w:val="00F05700"/>
    <w:rsid w:val="00F061B4"/>
    <w:rsid w:val="00F065E6"/>
    <w:rsid w:val="00F106A5"/>
    <w:rsid w:val="00F13566"/>
    <w:rsid w:val="00F14BA5"/>
    <w:rsid w:val="00F21627"/>
    <w:rsid w:val="00F21AEF"/>
    <w:rsid w:val="00F21D5E"/>
    <w:rsid w:val="00F22E44"/>
    <w:rsid w:val="00F259C1"/>
    <w:rsid w:val="00F26B90"/>
    <w:rsid w:val="00F34B22"/>
    <w:rsid w:val="00F3628B"/>
    <w:rsid w:val="00F3677D"/>
    <w:rsid w:val="00F3762A"/>
    <w:rsid w:val="00F406D3"/>
    <w:rsid w:val="00F40BDC"/>
    <w:rsid w:val="00F44C6A"/>
    <w:rsid w:val="00F44E16"/>
    <w:rsid w:val="00F4555A"/>
    <w:rsid w:val="00F46A80"/>
    <w:rsid w:val="00F46C83"/>
    <w:rsid w:val="00F504A4"/>
    <w:rsid w:val="00F52A40"/>
    <w:rsid w:val="00F54231"/>
    <w:rsid w:val="00F544DB"/>
    <w:rsid w:val="00F572E3"/>
    <w:rsid w:val="00F57CDB"/>
    <w:rsid w:val="00F60E6D"/>
    <w:rsid w:val="00F62143"/>
    <w:rsid w:val="00F625BA"/>
    <w:rsid w:val="00F62711"/>
    <w:rsid w:val="00F64BF6"/>
    <w:rsid w:val="00F65C77"/>
    <w:rsid w:val="00F65E07"/>
    <w:rsid w:val="00F65F16"/>
    <w:rsid w:val="00F703A1"/>
    <w:rsid w:val="00F70A58"/>
    <w:rsid w:val="00F716BD"/>
    <w:rsid w:val="00F72D62"/>
    <w:rsid w:val="00F73D36"/>
    <w:rsid w:val="00F73FCD"/>
    <w:rsid w:val="00F743AB"/>
    <w:rsid w:val="00F75F03"/>
    <w:rsid w:val="00F77212"/>
    <w:rsid w:val="00F77736"/>
    <w:rsid w:val="00F77AF6"/>
    <w:rsid w:val="00F804FA"/>
    <w:rsid w:val="00F8307D"/>
    <w:rsid w:val="00F84569"/>
    <w:rsid w:val="00F87D11"/>
    <w:rsid w:val="00F9041F"/>
    <w:rsid w:val="00F91644"/>
    <w:rsid w:val="00F91AF2"/>
    <w:rsid w:val="00F9214A"/>
    <w:rsid w:val="00F952D6"/>
    <w:rsid w:val="00F95AB8"/>
    <w:rsid w:val="00F96700"/>
    <w:rsid w:val="00F96765"/>
    <w:rsid w:val="00F97C34"/>
    <w:rsid w:val="00FA1237"/>
    <w:rsid w:val="00FA1565"/>
    <w:rsid w:val="00FA3A0C"/>
    <w:rsid w:val="00FA43C6"/>
    <w:rsid w:val="00FA4AFB"/>
    <w:rsid w:val="00FA50A2"/>
    <w:rsid w:val="00FA5207"/>
    <w:rsid w:val="00FA70DE"/>
    <w:rsid w:val="00FB3BCF"/>
    <w:rsid w:val="00FB446C"/>
    <w:rsid w:val="00FB4AC8"/>
    <w:rsid w:val="00FB515E"/>
    <w:rsid w:val="00FB725F"/>
    <w:rsid w:val="00FC390C"/>
    <w:rsid w:val="00FC4E11"/>
    <w:rsid w:val="00FC5225"/>
    <w:rsid w:val="00FC5A5C"/>
    <w:rsid w:val="00FC6D96"/>
    <w:rsid w:val="00FD3E51"/>
    <w:rsid w:val="00FD5B0F"/>
    <w:rsid w:val="00FE0324"/>
    <w:rsid w:val="00FE2A1C"/>
    <w:rsid w:val="00FE4911"/>
    <w:rsid w:val="00FE4E0F"/>
    <w:rsid w:val="00FE6F42"/>
    <w:rsid w:val="00FE7B21"/>
    <w:rsid w:val="00FF0CEA"/>
    <w:rsid w:val="00FF1994"/>
    <w:rsid w:val="00FF2EC9"/>
    <w:rsid w:val="00FF46B6"/>
    <w:rsid w:val="00FF4B69"/>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3C68"/>
  <w15:chartTrackingRefBased/>
  <w15:docId w15:val="{0E53239D-96E8-3540-9A5B-F2E4E00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4B69"/>
    <w:pPr>
      <w:spacing w:line="480" w:lineRule="auto"/>
    </w:pPr>
  </w:style>
  <w:style w:type="character" w:customStyle="1" w:styleId="BodyTextChar">
    <w:name w:val="Body Text Char"/>
    <w:basedOn w:val="DefaultParagraphFont"/>
    <w:link w:val="BodyText"/>
    <w:rsid w:val="00FF4B69"/>
    <w:rPr>
      <w:rFonts w:ascii="Times New Roman" w:eastAsia="Times New Roman" w:hAnsi="Times New Roman" w:cs="Times New Roman"/>
    </w:rPr>
  </w:style>
  <w:style w:type="character" w:styleId="Hyperlink">
    <w:name w:val="Hyperlink"/>
    <w:basedOn w:val="DefaultParagraphFont"/>
    <w:uiPriority w:val="99"/>
    <w:unhideWhenUsed/>
    <w:rsid w:val="003911E9"/>
    <w:rPr>
      <w:color w:val="0563C1" w:themeColor="hyperlink"/>
      <w:u w:val="single"/>
    </w:rPr>
  </w:style>
  <w:style w:type="character" w:styleId="UnresolvedMention">
    <w:name w:val="Unresolved Mention"/>
    <w:basedOn w:val="DefaultParagraphFont"/>
    <w:uiPriority w:val="99"/>
    <w:semiHidden/>
    <w:unhideWhenUsed/>
    <w:rsid w:val="003911E9"/>
    <w:rPr>
      <w:color w:val="605E5C"/>
      <w:shd w:val="clear" w:color="auto" w:fill="E1DFDD"/>
    </w:rPr>
  </w:style>
  <w:style w:type="character" w:styleId="FollowedHyperlink">
    <w:name w:val="FollowedHyperlink"/>
    <w:basedOn w:val="DefaultParagraphFont"/>
    <w:uiPriority w:val="99"/>
    <w:semiHidden/>
    <w:unhideWhenUsed/>
    <w:rsid w:val="003911E9"/>
    <w:rPr>
      <w:color w:val="954F72" w:themeColor="followedHyperlink"/>
      <w:u w:val="single"/>
    </w:rPr>
  </w:style>
  <w:style w:type="paragraph" w:styleId="BalloonText">
    <w:name w:val="Balloon Text"/>
    <w:basedOn w:val="Normal"/>
    <w:link w:val="BalloonTextChar"/>
    <w:uiPriority w:val="99"/>
    <w:semiHidden/>
    <w:unhideWhenUsed/>
    <w:rsid w:val="000C2AFA"/>
    <w:rPr>
      <w:sz w:val="18"/>
      <w:szCs w:val="18"/>
    </w:rPr>
  </w:style>
  <w:style w:type="character" w:customStyle="1" w:styleId="BalloonTextChar">
    <w:name w:val="Balloon Text Char"/>
    <w:basedOn w:val="DefaultParagraphFont"/>
    <w:link w:val="BalloonText"/>
    <w:uiPriority w:val="99"/>
    <w:semiHidden/>
    <w:rsid w:val="000C2AFA"/>
    <w:rPr>
      <w:rFonts w:ascii="Times New Roman" w:eastAsia="Times New Roman" w:hAnsi="Times New Roman" w:cs="Times New Roman"/>
      <w:sz w:val="18"/>
      <w:szCs w:val="18"/>
    </w:rPr>
  </w:style>
  <w:style w:type="paragraph" w:styleId="Revision">
    <w:name w:val="Revision"/>
    <w:hidden/>
    <w:uiPriority w:val="99"/>
    <w:semiHidden/>
    <w:rsid w:val="00D64F54"/>
    <w:rPr>
      <w:rFonts w:ascii="Times New Roman" w:eastAsia="Times New Roman" w:hAnsi="Times New Roman" w:cs="Times New Roman"/>
    </w:rPr>
  </w:style>
  <w:style w:type="paragraph" w:customStyle="1" w:styleId="EndNoteBibliography">
    <w:name w:val="EndNote Bibliography"/>
    <w:basedOn w:val="Normal"/>
    <w:rsid w:val="003D7FDA"/>
    <w:rPr>
      <w:szCs w:val="20"/>
      <w:lang w:val="en-US"/>
    </w:rPr>
  </w:style>
  <w:style w:type="character" w:styleId="CommentReference">
    <w:name w:val="annotation reference"/>
    <w:basedOn w:val="DefaultParagraphFont"/>
    <w:uiPriority w:val="99"/>
    <w:semiHidden/>
    <w:unhideWhenUsed/>
    <w:rsid w:val="001C2D58"/>
    <w:rPr>
      <w:sz w:val="16"/>
      <w:szCs w:val="16"/>
    </w:rPr>
  </w:style>
  <w:style w:type="paragraph" w:styleId="CommentText">
    <w:name w:val="annotation text"/>
    <w:basedOn w:val="Normal"/>
    <w:link w:val="CommentTextChar"/>
    <w:uiPriority w:val="99"/>
    <w:unhideWhenUsed/>
    <w:rsid w:val="001C2D58"/>
    <w:rPr>
      <w:sz w:val="20"/>
      <w:szCs w:val="20"/>
    </w:rPr>
  </w:style>
  <w:style w:type="character" w:customStyle="1" w:styleId="CommentTextChar">
    <w:name w:val="Comment Text Char"/>
    <w:basedOn w:val="DefaultParagraphFont"/>
    <w:link w:val="CommentText"/>
    <w:uiPriority w:val="99"/>
    <w:rsid w:val="001C2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D58"/>
    <w:rPr>
      <w:b/>
      <w:bCs/>
    </w:rPr>
  </w:style>
  <w:style w:type="character" w:customStyle="1" w:styleId="CommentSubjectChar">
    <w:name w:val="Comment Subject Char"/>
    <w:basedOn w:val="CommentTextChar"/>
    <w:link w:val="CommentSubject"/>
    <w:uiPriority w:val="99"/>
    <w:semiHidden/>
    <w:rsid w:val="001C2D58"/>
    <w:rPr>
      <w:rFonts w:ascii="Times New Roman" w:eastAsia="Times New Roman" w:hAnsi="Times New Roman" w:cs="Times New Roman"/>
      <w:b/>
      <w:bCs/>
      <w:sz w:val="20"/>
      <w:szCs w:val="20"/>
    </w:rPr>
  </w:style>
  <w:style w:type="paragraph" w:styleId="Header">
    <w:name w:val="header"/>
    <w:basedOn w:val="Normal"/>
    <w:link w:val="HeaderChar"/>
    <w:semiHidden/>
    <w:rsid w:val="00D65F77"/>
    <w:pPr>
      <w:tabs>
        <w:tab w:val="center" w:pos="4320"/>
        <w:tab w:val="right" w:pos="8640"/>
      </w:tabs>
    </w:pPr>
    <w:rPr>
      <w:sz w:val="20"/>
      <w:szCs w:val="20"/>
    </w:rPr>
  </w:style>
  <w:style w:type="character" w:customStyle="1" w:styleId="HeaderChar">
    <w:name w:val="Header Char"/>
    <w:basedOn w:val="DefaultParagraphFont"/>
    <w:link w:val="Header"/>
    <w:semiHidden/>
    <w:rsid w:val="00D65F77"/>
    <w:rPr>
      <w:rFonts w:ascii="Times New Roman" w:eastAsia="Times New Roman" w:hAnsi="Times New Roman" w:cs="Times New Roman"/>
      <w:sz w:val="20"/>
      <w:szCs w:val="20"/>
    </w:rPr>
  </w:style>
  <w:style w:type="paragraph" w:styleId="BlockText">
    <w:name w:val="Block Text"/>
    <w:basedOn w:val="Normal"/>
    <w:rsid w:val="0028787D"/>
    <w:pPr>
      <w:ind w:left="720" w:right="720"/>
    </w:pPr>
    <w:rPr>
      <w:szCs w:val="20"/>
    </w:rPr>
  </w:style>
  <w:style w:type="paragraph" w:styleId="BodyText2">
    <w:name w:val="Body Text 2"/>
    <w:basedOn w:val="Normal"/>
    <w:link w:val="BodyText2Char"/>
    <w:uiPriority w:val="99"/>
    <w:semiHidden/>
    <w:unhideWhenUsed/>
    <w:rsid w:val="008F2F42"/>
    <w:pPr>
      <w:spacing w:after="120" w:line="480" w:lineRule="auto"/>
    </w:pPr>
  </w:style>
  <w:style w:type="character" w:customStyle="1" w:styleId="BodyText2Char">
    <w:name w:val="Body Text 2 Char"/>
    <w:basedOn w:val="DefaultParagraphFont"/>
    <w:link w:val="BodyText2"/>
    <w:uiPriority w:val="99"/>
    <w:semiHidden/>
    <w:rsid w:val="008F2F42"/>
    <w:rPr>
      <w:rFonts w:ascii="Times New Roman" w:eastAsia="Times New Roman" w:hAnsi="Times New Roman" w:cs="Times New Roman"/>
    </w:rPr>
  </w:style>
  <w:style w:type="paragraph" w:styleId="Footer">
    <w:name w:val="footer"/>
    <w:basedOn w:val="Normal"/>
    <w:link w:val="FooterChar"/>
    <w:uiPriority w:val="99"/>
    <w:unhideWhenUsed/>
    <w:rsid w:val="00D122A1"/>
    <w:pPr>
      <w:tabs>
        <w:tab w:val="center" w:pos="4680"/>
        <w:tab w:val="right" w:pos="9360"/>
      </w:tabs>
    </w:pPr>
  </w:style>
  <w:style w:type="character" w:customStyle="1" w:styleId="FooterChar">
    <w:name w:val="Footer Char"/>
    <w:basedOn w:val="DefaultParagraphFont"/>
    <w:link w:val="Footer"/>
    <w:uiPriority w:val="99"/>
    <w:rsid w:val="00D122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309">
      <w:bodyDiv w:val="1"/>
      <w:marLeft w:val="0"/>
      <w:marRight w:val="0"/>
      <w:marTop w:val="0"/>
      <w:marBottom w:val="0"/>
      <w:divBdr>
        <w:top w:val="none" w:sz="0" w:space="0" w:color="auto"/>
        <w:left w:val="none" w:sz="0" w:space="0" w:color="auto"/>
        <w:bottom w:val="none" w:sz="0" w:space="0" w:color="auto"/>
        <w:right w:val="none" w:sz="0" w:space="0" w:color="auto"/>
      </w:divBdr>
      <w:divsChild>
        <w:div w:id="1361973408">
          <w:marLeft w:val="0"/>
          <w:marRight w:val="0"/>
          <w:marTop w:val="0"/>
          <w:marBottom w:val="0"/>
          <w:divBdr>
            <w:top w:val="none" w:sz="0" w:space="0" w:color="auto"/>
            <w:left w:val="none" w:sz="0" w:space="0" w:color="auto"/>
            <w:bottom w:val="none" w:sz="0" w:space="0" w:color="auto"/>
            <w:right w:val="none" w:sz="0" w:space="0" w:color="auto"/>
          </w:divBdr>
        </w:div>
        <w:div w:id="1153106786">
          <w:marLeft w:val="0"/>
          <w:marRight w:val="0"/>
          <w:marTop w:val="0"/>
          <w:marBottom w:val="0"/>
          <w:divBdr>
            <w:top w:val="none" w:sz="0" w:space="0" w:color="auto"/>
            <w:left w:val="none" w:sz="0" w:space="0" w:color="auto"/>
            <w:bottom w:val="none" w:sz="0" w:space="0" w:color="auto"/>
            <w:right w:val="none" w:sz="0" w:space="0" w:color="auto"/>
          </w:divBdr>
        </w:div>
        <w:div w:id="1488665394">
          <w:marLeft w:val="0"/>
          <w:marRight w:val="0"/>
          <w:marTop w:val="0"/>
          <w:marBottom w:val="0"/>
          <w:divBdr>
            <w:top w:val="none" w:sz="0" w:space="0" w:color="auto"/>
            <w:left w:val="none" w:sz="0" w:space="0" w:color="auto"/>
            <w:bottom w:val="none" w:sz="0" w:space="0" w:color="auto"/>
            <w:right w:val="none" w:sz="0" w:space="0" w:color="auto"/>
          </w:divBdr>
        </w:div>
        <w:div w:id="216354159">
          <w:marLeft w:val="0"/>
          <w:marRight w:val="0"/>
          <w:marTop w:val="0"/>
          <w:marBottom w:val="0"/>
          <w:divBdr>
            <w:top w:val="none" w:sz="0" w:space="0" w:color="auto"/>
            <w:left w:val="none" w:sz="0" w:space="0" w:color="auto"/>
            <w:bottom w:val="none" w:sz="0" w:space="0" w:color="auto"/>
            <w:right w:val="none" w:sz="0" w:space="0" w:color="auto"/>
          </w:divBdr>
        </w:div>
        <w:div w:id="1080757429">
          <w:marLeft w:val="0"/>
          <w:marRight w:val="0"/>
          <w:marTop w:val="0"/>
          <w:marBottom w:val="0"/>
          <w:divBdr>
            <w:top w:val="none" w:sz="0" w:space="0" w:color="auto"/>
            <w:left w:val="none" w:sz="0" w:space="0" w:color="auto"/>
            <w:bottom w:val="none" w:sz="0" w:space="0" w:color="auto"/>
            <w:right w:val="none" w:sz="0" w:space="0" w:color="auto"/>
          </w:divBdr>
        </w:div>
      </w:divsChild>
    </w:div>
    <w:div w:id="297614528">
      <w:bodyDiv w:val="1"/>
      <w:marLeft w:val="0"/>
      <w:marRight w:val="0"/>
      <w:marTop w:val="0"/>
      <w:marBottom w:val="0"/>
      <w:divBdr>
        <w:top w:val="none" w:sz="0" w:space="0" w:color="auto"/>
        <w:left w:val="none" w:sz="0" w:space="0" w:color="auto"/>
        <w:bottom w:val="none" w:sz="0" w:space="0" w:color="auto"/>
        <w:right w:val="none" w:sz="0" w:space="0" w:color="auto"/>
      </w:divBdr>
    </w:div>
    <w:div w:id="298460343">
      <w:bodyDiv w:val="1"/>
      <w:marLeft w:val="0"/>
      <w:marRight w:val="0"/>
      <w:marTop w:val="0"/>
      <w:marBottom w:val="0"/>
      <w:divBdr>
        <w:top w:val="none" w:sz="0" w:space="0" w:color="auto"/>
        <w:left w:val="none" w:sz="0" w:space="0" w:color="auto"/>
        <w:bottom w:val="none" w:sz="0" w:space="0" w:color="auto"/>
        <w:right w:val="none" w:sz="0" w:space="0" w:color="auto"/>
      </w:divBdr>
    </w:div>
    <w:div w:id="479343946">
      <w:bodyDiv w:val="1"/>
      <w:marLeft w:val="0"/>
      <w:marRight w:val="0"/>
      <w:marTop w:val="0"/>
      <w:marBottom w:val="0"/>
      <w:divBdr>
        <w:top w:val="none" w:sz="0" w:space="0" w:color="auto"/>
        <w:left w:val="none" w:sz="0" w:space="0" w:color="auto"/>
        <w:bottom w:val="none" w:sz="0" w:space="0" w:color="auto"/>
        <w:right w:val="none" w:sz="0" w:space="0" w:color="auto"/>
      </w:divBdr>
    </w:div>
    <w:div w:id="497422367">
      <w:bodyDiv w:val="1"/>
      <w:marLeft w:val="0"/>
      <w:marRight w:val="0"/>
      <w:marTop w:val="0"/>
      <w:marBottom w:val="0"/>
      <w:divBdr>
        <w:top w:val="none" w:sz="0" w:space="0" w:color="auto"/>
        <w:left w:val="none" w:sz="0" w:space="0" w:color="auto"/>
        <w:bottom w:val="none" w:sz="0" w:space="0" w:color="auto"/>
        <w:right w:val="none" w:sz="0" w:space="0" w:color="auto"/>
      </w:divBdr>
      <w:divsChild>
        <w:div w:id="2034647712">
          <w:marLeft w:val="0"/>
          <w:marRight w:val="0"/>
          <w:marTop w:val="0"/>
          <w:marBottom w:val="0"/>
          <w:divBdr>
            <w:top w:val="none" w:sz="0" w:space="0" w:color="auto"/>
            <w:left w:val="none" w:sz="0" w:space="0" w:color="auto"/>
            <w:bottom w:val="none" w:sz="0" w:space="0" w:color="auto"/>
            <w:right w:val="none" w:sz="0" w:space="0" w:color="auto"/>
          </w:divBdr>
        </w:div>
        <w:div w:id="160200132">
          <w:marLeft w:val="0"/>
          <w:marRight w:val="0"/>
          <w:marTop w:val="0"/>
          <w:marBottom w:val="0"/>
          <w:divBdr>
            <w:top w:val="none" w:sz="0" w:space="0" w:color="auto"/>
            <w:left w:val="none" w:sz="0" w:space="0" w:color="auto"/>
            <w:bottom w:val="none" w:sz="0" w:space="0" w:color="auto"/>
            <w:right w:val="none" w:sz="0" w:space="0" w:color="auto"/>
          </w:divBdr>
        </w:div>
        <w:div w:id="2108886314">
          <w:marLeft w:val="0"/>
          <w:marRight w:val="0"/>
          <w:marTop w:val="0"/>
          <w:marBottom w:val="0"/>
          <w:divBdr>
            <w:top w:val="none" w:sz="0" w:space="0" w:color="auto"/>
            <w:left w:val="none" w:sz="0" w:space="0" w:color="auto"/>
            <w:bottom w:val="none" w:sz="0" w:space="0" w:color="auto"/>
            <w:right w:val="none" w:sz="0" w:space="0" w:color="auto"/>
          </w:divBdr>
        </w:div>
      </w:divsChild>
    </w:div>
    <w:div w:id="849101880">
      <w:bodyDiv w:val="1"/>
      <w:marLeft w:val="0"/>
      <w:marRight w:val="0"/>
      <w:marTop w:val="0"/>
      <w:marBottom w:val="0"/>
      <w:divBdr>
        <w:top w:val="none" w:sz="0" w:space="0" w:color="auto"/>
        <w:left w:val="none" w:sz="0" w:space="0" w:color="auto"/>
        <w:bottom w:val="none" w:sz="0" w:space="0" w:color="auto"/>
        <w:right w:val="none" w:sz="0" w:space="0" w:color="auto"/>
      </w:divBdr>
      <w:divsChild>
        <w:div w:id="1583173424">
          <w:marLeft w:val="0"/>
          <w:marRight w:val="0"/>
          <w:marTop w:val="0"/>
          <w:marBottom w:val="0"/>
          <w:divBdr>
            <w:top w:val="none" w:sz="0" w:space="0" w:color="auto"/>
            <w:left w:val="none" w:sz="0" w:space="0" w:color="auto"/>
            <w:bottom w:val="none" w:sz="0" w:space="0" w:color="auto"/>
            <w:right w:val="none" w:sz="0" w:space="0" w:color="auto"/>
          </w:divBdr>
        </w:div>
        <w:div w:id="2142765212">
          <w:marLeft w:val="0"/>
          <w:marRight w:val="0"/>
          <w:marTop w:val="0"/>
          <w:marBottom w:val="0"/>
          <w:divBdr>
            <w:top w:val="none" w:sz="0" w:space="0" w:color="auto"/>
            <w:left w:val="none" w:sz="0" w:space="0" w:color="auto"/>
            <w:bottom w:val="none" w:sz="0" w:space="0" w:color="auto"/>
            <w:right w:val="none" w:sz="0" w:space="0" w:color="auto"/>
          </w:divBdr>
        </w:div>
        <w:div w:id="167826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ssex.ac.uk/spru/research/swp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dependent.gov.uk/browne-re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js.lboro.ac.uk/TRACEY/article/view/25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rofile/Howard_Riley"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413334/Making_a_mark_-_art_craft_and_design_education_2008-11_-_high_resolution.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07BF958-3003-BA40-BFD2-628B8A56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22</Pages>
  <Words>6123</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Riley</dc:creator>
  <cp:keywords/>
  <dc:description/>
  <cp:lastModifiedBy>Howard Riley</cp:lastModifiedBy>
  <cp:revision>122</cp:revision>
  <cp:lastPrinted>2019-08-03T13:08:00Z</cp:lastPrinted>
  <dcterms:created xsi:type="dcterms:W3CDTF">2020-01-29T19:22:00Z</dcterms:created>
  <dcterms:modified xsi:type="dcterms:W3CDTF">2022-01-31T12:09:00Z</dcterms:modified>
</cp:coreProperties>
</file>